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A7" w:rsidRPr="00036EA7" w:rsidRDefault="00B1028D" w:rsidP="00036EA7">
      <w:pPr>
        <w:jc w:val="both"/>
        <w:rPr>
          <w:rFonts w:ascii="Arial" w:hAnsi="Arial" w:cs="Arial"/>
          <w:color w:val="auto"/>
          <w:kern w:val="0"/>
          <w:sz w:val="20"/>
          <w:szCs w:val="20"/>
        </w:rPr>
      </w:pPr>
      <w:r>
        <w:rPr>
          <w:noProof/>
        </w:rPr>
        <w:drawing>
          <wp:anchor distT="0" distB="0" distL="114300" distR="114300" simplePos="0" relativeHeight="251658240" behindDoc="1" locked="0" layoutInCell="1" allowOverlap="1">
            <wp:simplePos x="0" y="0"/>
            <wp:positionH relativeFrom="column">
              <wp:posOffset>-56515</wp:posOffset>
            </wp:positionH>
            <wp:positionV relativeFrom="paragraph">
              <wp:posOffset>0</wp:posOffset>
            </wp:positionV>
            <wp:extent cx="1679575" cy="1156970"/>
            <wp:effectExtent l="19050" t="0" r="0" b="0"/>
            <wp:wrapTight wrapText="bothSides">
              <wp:wrapPolygon edited="0">
                <wp:start x="-245" y="0"/>
                <wp:lineTo x="-245" y="21339"/>
                <wp:lineTo x="21559" y="21339"/>
                <wp:lineTo x="21559" y="0"/>
                <wp:lineTo x="-245" y="0"/>
              </wp:wrapPolygon>
            </wp:wrapTight>
            <wp:docPr id="3" name="Picture 3" descr="NAHRO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HRO_logo_Color"/>
                    <pic:cNvPicPr>
                      <a:picLocks noChangeAspect="1" noChangeArrowheads="1"/>
                    </pic:cNvPicPr>
                  </pic:nvPicPr>
                  <pic:blipFill>
                    <a:blip r:embed="rId7" cstate="print"/>
                    <a:srcRect/>
                    <a:stretch>
                      <a:fillRect/>
                    </a:stretch>
                  </pic:blipFill>
                  <pic:spPr bwMode="auto">
                    <a:xfrm>
                      <a:off x="0" y="0"/>
                      <a:ext cx="1679575" cy="1156970"/>
                    </a:xfrm>
                    <a:prstGeom prst="rect">
                      <a:avLst/>
                    </a:prstGeom>
                    <a:noFill/>
                  </pic:spPr>
                </pic:pic>
              </a:graphicData>
            </a:graphic>
          </wp:anchor>
        </w:drawing>
      </w:r>
      <w:r w:rsidR="00DC573C" w:rsidRPr="00DC573C">
        <w:rPr>
          <w:color w:val="auto"/>
          <w:kern w:val="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42pt;margin-top:234pt;width:135.6pt;height:466.55pt;z-index:251657216;mso-wrap-distance-left:2.88pt;mso-wrap-distance-top:2.88pt;mso-wrap-distance-right:2.88pt;mso-wrap-distance-bottom:2.88pt;mso-position-horizontal-relative:text;mso-position-vertical-relative:text" stroked="f" insetpen="t" o:cliptowrap="t">
            <v:stroke>
              <o:left v:ext="view" weight="0"/>
              <o:top v:ext="view" weight="0"/>
              <o:right v:ext="view" weight="0"/>
              <o:bottom v:ext="view" weight="0"/>
            </v:stroke>
            <v:shadow color="#ccc"/>
            <v:textbox inset="0,0,0,0"/>
          </v:shape>
        </w:pict>
      </w:r>
      <w:bookmarkStart w:id="0" w:name="_GoBack"/>
      <w:bookmarkEnd w:id="0"/>
    </w:p>
    <w:tbl>
      <w:tblPr>
        <w:tblpPr w:leftFromText="180" w:rightFromText="180" w:vertAnchor="page" w:horzAnchor="margin" w:tblpY="3433"/>
        <w:tblW w:w="2718" w:type="dxa"/>
        <w:tblCellMar>
          <w:left w:w="0" w:type="dxa"/>
          <w:right w:w="0" w:type="dxa"/>
        </w:tblCellMar>
        <w:tblLook w:val="0000"/>
      </w:tblPr>
      <w:tblGrid>
        <w:gridCol w:w="2718"/>
      </w:tblGrid>
      <w:tr w:rsidR="008270B0" w:rsidTr="00A12963">
        <w:trPr>
          <w:trHeight w:val="10620"/>
        </w:trPr>
        <w:tc>
          <w:tcPr>
            <w:tcW w:w="2718" w:type="dxa"/>
            <w:tcBorders>
              <w:right w:val="single" w:sz="4" w:space="0" w:color="auto"/>
            </w:tcBorders>
            <w:tcMar>
              <w:top w:w="0" w:type="dxa"/>
              <w:left w:w="108" w:type="dxa"/>
              <w:bottom w:w="0" w:type="dxa"/>
              <w:right w:w="108" w:type="dxa"/>
            </w:tcMar>
          </w:tcPr>
          <w:p w:rsidR="008270B0" w:rsidRPr="00A76E9A" w:rsidRDefault="008270B0" w:rsidP="00A12963">
            <w:pPr>
              <w:widowControl w:val="0"/>
              <w:ind w:left="-1620"/>
              <w:rPr>
                <w:rFonts w:ascii="Arial" w:hAnsi="Arial" w:cs="Arial"/>
              </w:rPr>
            </w:pPr>
            <w:r w:rsidRPr="00A76E9A">
              <w:rPr>
                <w:rFonts w:ascii="Arial" w:hAnsi="Arial" w:cs="Arial"/>
              </w:rPr>
              <w:t> </w:t>
            </w:r>
          </w:p>
          <w:p w:rsidR="008270B0" w:rsidRDefault="008270B0" w:rsidP="00A12963">
            <w:pPr>
              <w:widowControl w:val="0"/>
              <w:ind w:firstLine="71"/>
              <w:jc w:val="right"/>
              <w:rPr>
                <w:rFonts w:ascii="Arial" w:hAnsi="Arial" w:cs="Arial"/>
                <w:b/>
                <w:bCs/>
                <w:sz w:val="20"/>
                <w:szCs w:val="20"/>
              </w:rPr>
            </w:pPr>
          </w:p>
          <w:p w:rsidR="008270B0" w:rsidRPr="00A12963" w:rsidRDefault="008270B0" w:rsidP="00A12963">
            <w:pPr>
              <w:widowControl w:val="0"/>
              <w:ind w:firstLine="71"/>
              <w:jc w:val="right"/>
              <w:rPr>
                <w:rFonts w:ascii="Arial" w:hAnsi="Arial" w:cs="Arial"/>
                <w:sz w:val="18"/>
                <w:szCs w:val="18"/>
              </w:rPr>
            </w:pPr>
            <w:r w:rsidRPr="00A12963">
              <w:rPr>
                <w:rFonts w:ascii="Arial" w:hAnsi="Arial" w:cs="Arial"/>
                <w:b/>
                <w:bCs/>
                <w:sz w:val="18"/>
                <w:szCs w:val="18"/>
              </w:rPr>
              <w:t>EXECUTIVE BOARD</w:t>
            </w:r>
          </w:p>
          <w:p w:rsidR="008270B0" w:rsidRPr="00A12963" w:rsidRDefault="008270B0" w:rsidP="00A12963">
            <w:pPr>
              <w:widowControl w:val="0"/>
              <w:ind w:firstLine="71"/>
              <w:jc w:val="right"/>
              <w:rPr>
                <w:rFonts w:ascii="Arial" w:hAnsi="Arial" w:cs="Arial"/>
                <w:b/>
                <w:iCs/>
                <w:sz w:val="18"/>
                <w:szCs w:val="18"/>
              </w:rPr>
            </w:pPr>
          </w:p>
          <w:p w:rsidR="008270B0" w:rsidRPr="00A12963" w:rsidRDefault="00114020" w:rsidP="00A12963">
            <w:pPr>
              <w:widowControl w:val="0"/>
              <w:ind w:firstLine="71"/>
              <w:jc w:val="right"/>
              <w:rPr>
                <w:rFonts w:ascii="Arial" w:hAnsi="Arial" w:cs="Arial"/>
                <w:b/>
                <w:iCs/>
                <w:sz w:val="18"/>
                <w:szCs w:val="18"/>
              </w:rPr>
            </w:pPr>
            <w:r>
              <w:rPr>
                <w:rFonts w:ascii="Arial" w:hAnsi="Arial" w:cs="Arial"/>
                <w:b/>
                <w:iCs/>
                <w:sz w:val="18"/>
                <w:szCs w:val="18"/>
              </w:rPr>
              <w:t>Lynell Smith</w:t>
            </w:r>
          </w:p>
          <w:p w:rsidR="008270B0" w:rsidRPr="00A12963" w:rsidRDefault="008270B0" w:rsidP="00A12963">
            <w:pPr>
              <w:widowControl w:val="0"/>
              <w:ind w:firstLine="71"/>
              <w:jc w:val="right"/>
              <w:rPr>
                <w:rFonts w:ascii="Arial" w:hAnsi="Arial" w:cs="Arial"/>
                <w:sz w:val="16"/>
                <w:szCs w:val="16"/>
              </w:rPr>
            </w:pPr>
            <w:r w:rsidRPr="00A12963">
              <w:rPr>
                <w:rFonts w:ascii="Arial" w:hAnsi="Arial" w:cs="Arial"/>
                <w:i/>
                <w:iCs/>
                <w:sz w:val="16"/>
                <w:szCs w:val="16"/>
              </w:rPr>
              <w:t>President</w:t>
            </w:r>
          </w:p>
          <w:p w:rsidR="008270B0" w:rsidRPr="00A12963" w:rsidRDefault="008270B0" w:rsidP="00A12963">
            <w:pPr>
              <w:widowControl w:val="0"/>
              <w:ind w:firstLine="72"/>
              <w:jc w:val="right"/>
              <w:rPr>
                <w:rFonts w:ascii="Arial" w:hAnsi="Arial" w:cs="Arial"/>
                <w:i/>
                <w:iCs/>
                <w:sz w:val="16"/>
                <w:szCs w:val="16"/>
              </w:rPr>
            </w:pPr>
            <w:r w:rsidRPr="00A12963">
              <w:rPr>
                <w:rFonts w:ascii="Arial" w:hAnsi="Arial" w:cs="Arial"/>
                <w:i/>
                <w:iCs/>
                <w:sz w:val="16"/>
                <w:szCs w:val="16"/>
              </w:rPr>
              <w:t xml:space="preserve">(801) </w:t>
            </w:r>
            <w:r w:rsidR="00114020">
              <w:rPr>
                <w:rFonts w:ascii="Arial" w:hAnsi="Arial" w:cs="Arial"/>
                <w:i/>
                <w:iCs/>
                <w:sz w:val="16"/>
                <w:szCs w:val="16"/>
              </w:rPr>
              <w:t>373-8333</w:t>
            </w:r>
          </w:p>
          <w:p w:rsidR="00A12963" w:rsidRDefault="00A12963" w:rsidP="00A12963">
            <w:pPr>
              <w:widowControl w:val="0"/>
              <w:ind w:firstLine="71"/>
              <w:jc w:val="right"/>
              <w:rPr>
                <w:rFonts w:ascii="Arial" w:hAnsi="Arial" w:cs="Arial"/>
                <w:b/>
                <w:bCs/>
                <w:iCs/>
                <w:sz w:val="18"/>
                <w:szCs w:val="18"/>
              </w:rPr>
            </w:pPr>
          </w:p>
          <w:p w:rsidR="008270B0" w:rsidRPr="00A12963" w:rsidRDefault="00114020" w:rsidP="00A12963">
            <w:pPr>
              <w:widowControl w:val="0"/>
              <w:ind w:firstLine="71"/>
              <w:jc w:val="right"/>
              <w:rPr>
                <w:rFonts w:ascii="Arial" w:hAnsi="Arial" w:cs="Arial"/>
                <w:b/>
                <w:bCs/>
                <w:sz w:val="18"/>
                <w:szCs w:val="18"/>
              </w:rPr>
            </w:pPr>
            <w:r>
              <w:rPr>
                <w:rFonts w:ascii="Arial" w:hAnsi="Arial" w:cs="Arial"/>
                <w:b/>
                <w:bCs/>
                <w:iCs/>
                <w:sz w:val="18"/>
                <w:szCs w:val="18"/>
              </w:rPr>
              <w:t>Janice Kimball</w:t>
            </w:r>
          </w:p>
          <w:p w:rsidR="008270B0" w:rsidRPr="00A12963" w:rsidRDefault="008270B0" w:rsidP="00A12963">
            <w:pPr>
              <w:widowControl w:val="0"/>
              <w:ind w:firstLine="72"/>
              <w:jc w:val="right"/>
              <w:rPr>
                <w:rFonts w:ascii="Arial" w:hAnsi="Arial" w:cs="Arial"/>
                <w:i/>
                <w:sz w:val="16"/>
                <w:szCs w:val="16"/>
              </w:rPr>
            </w:pPr>
            <w:r w:rsidRPr="00A12963">
              <w:rPr>
                <w:rFonts w:ascii="Arial" w:hAnsi="Arial" w:cs="Arial"/>
                <w:bCs/>
                <w:i/>
                <w:sz w:val="16"/>
                <w:szCs w:val="16"/>
              </w:rPr>
              <w:t>Senior Vice President</w:t>
            </w:r>
          </w:p>
          <w:p w:rsidR="00A12963" w:rsidRDefault="00A12963" w:rsidP="00A12963">
            <w:pPr>
              <w:widowControl w:val="0"/>
              <w:ind w:firstLine="71"/>
              <w:jc w:val="right"/>
              <w:rPr>
                <w:rFonts w:ascii="Arial" w:hAnsi="Arial" w:cs="Arial"/>
                <w:b/>
                <w:iCs/>
                <w:sz w:val="18"/>
                <w:szCs w:val="18"/>
              </w:rPr>
            </w:pPr>
          </w:p>
          <w:p w:rsidR="008270B0" w:rsidRPr="00A12963" w:rsidRDefault="00114020" w:rsidP="00A12963">
            <w:pPr>
              <w:widowControl w:val="0"/>
              <w:ind w:firstLine="71"/>
              <w:jc w:val="right"/>
              <w:rPr>
                <w:rFonts w:ascii="Arial" w:hAnsi="Arial" w:cs="Arial"/>
                <w:b/>
                <w:iCs/>
                <w:sz w:val="18"/>
                <w:szCs w:val="18"/>
              </w:rPr>
            </w:pPr>
            <w:r>
              <w:rPr>
                <w:rFonts w:ascii="Arial" w:hAnsi="Arial" w:cs="Arial"/>
                <w:b/>
                <w:iCs/>
                <w:sz w:val="18"/>
                <w:szCs w:val="18"/>
              </w:rPr>
              <w:t>Lisa James</w:t>
            </w:r>
          </w:p>
          <w:p w:rsidR="008270B0" w:rsidRPr="00A12963" w:rsidRDefault="008270B0" w:rsidP="00A12963">
            <w:pPr>
              <w:widowControl w:val="0"/>
              <w:ind w:firstLine="71"/>
              <w:jc w:val="right"/>
              <w:rPr>
                <w:rFonts w:ascii="Arial" w:hAnsi="Arial" w:cs="Arial"/>
                <w:sz w:val="16"/>
                <w:szCs w:val="16"/>
              </w:rPr>
            </w:pPr>
            <w:r w:rsidRPr="00A12963">
              <w:rPr>
                <w:rFonts w:ascii="Arial" w:hAnsi="Arial" w:cs="Arial"/>
                <w:i/>
                <w:iCs/>
                <w:sz w:val="16"/>
                <w:szCs w:val="16"/>
              </w:rPr>
              <w:t>Secretary</w:t>
            </w:r>
          </w:p>
          <w:p w:rsidR="00A12963" w:rsidRDefault="00A12963" w:rsidP="00A12963">
            <w:pPr>
              <w:widowControl w:val="0"/>
              <w:ind w:firstLine="72"/>
              <w:jc w:val="right"/>
              <w:rPr>
                <w:rFonts w:ascii="Arial" w:hAnsi="Arial" w:cs="Arial"/>
                <w:b/>
                <w:bCs/>
                <w:sz w:val="18"/>
                <w:szCs w:val="18"/>
              </w:rPr>
            </w:pPr>
          </w:p>
          <w:p w:rsidR="008270B0" w:rsidRPr="00A12963" w:rsidRDefault="00114020" w:rsidP="00A12963">
            <w:pPr>
              <w:widowControl w:val="0"/>
              <w:ind w:firstLine="72"/>
              <w:jc w:val="right"/>
              <w:rPr>
                <w:rFonts w:ascii="Arial" w:hAnsi="Arial" w:cs="Arial"/>
                <w:sz w:val="18"/>
                <w:szCs w:val="18"/>
              </w:rPr>
            </w:pPr>
            <w:r>
              <w:rPr>
                <w:rFonts w:ascii="Arial" w:hAnsi="Arial" w:cs="Arial"/>
                <w:b/>
                <w:bCs/>
                <w:sz w:val="18"/>
                <w:szCs w:val="18"/>
              </w:rPr>
              <w:t>Tim Price</w:t>
            </w:r>
          </w:p>
          <w:p w:rsidR="008270B0" w:rsidRPr="00A12963" w:rsidRDefault="008270B0" w:rsidP="00A12963">
            <w:pPr>
              <w:widowControl w:val="0"/>
              <w:ind w:firstLine="71"/>
              <w:jc w:val="right"/>
              <w:rPr>
                <w:rFonts w:ascii="Arial" w:hAnsi="Arial" w:cs="Arial"/>
                <w:sz w:val="16"/>
                <w:szCs w:val="16"/>
              </w:rPr>
            </w:pPr>
            <w:r w:rsidRPr="00A12963">
              <w:rPr>
                <w:rFonts w:ascii="Arial" w:hAnsi="Arial" w:cs="Arial"/>
                <w:i/>
                <w:iCs/>
                <w:sz w:val="16"/>
                <w:szCs w:val="16"/>
              </w:rPr>
              <w:t>Treasurer</w:t>
            </w:r>
          </w:p>
          <w:p w:rsidR="00A12963" w:rsidRDefault="00A12963" w:rsidP="00A12963">
            <w:pPr>
              <w:widowControl w:val="0"/>
              <w:ind w:firstLine="72"/>
              <w:jc w:val="right"/>
              <w:rPr>
                <w:rFonts w:ascii="Arial" w:hAnsi="Arial" w:cs="Arial"/>
                <w:b/>
                <w:bCs/>
                <w:sz w:val="18"/>
                <w:szCs w:val="18"/>
              </w:rPr>
            </w:pPr>
          </w:p>
          <w:p w:rsidR="008270B0" w:rsidRPr="00A12963" w:rsidRDefault="008270B0" w:rsidP="00A12963">
            <w:pPr>
              <w:widowControl w:val="0"/>
              <w:ind w:firstLine="72"/>
              <w:jc w:val="right"/>
              <w:rPr>
                <w:rFonts w:ascii="Arial" w:hAnsi="Arial" w:cs="Arial"/>
                <w:sz w:val="18"/>
                <w:szCs w:val="18"/>
              </w:rPr>
            </w:pPr>
            <w:r w:rsidRPr="00A12963">
              <w:rPr>
                <w:rFonts w:ascii="Arial" w:hAnsi="Arial" w:cs="Arial"/>
                <w:b/>
                <w:bCs/>
                <w:sz w:val="18"/>
                <w:szCs w:val="18"/>
              </w:rPr>
              <w:t>Jim Dixon</w:t>
            </w:r>
          </w:p>
          <w:p w:rsidR="008270B0" w:rsidRPr="00A12963" w:rsidRDefault="008270B0" w:rsidP="00A12963">
            <w:pPr>
              <w:widowControl w:val="0"/>
              <w:ind w:firstLine="72"/>
              <w:jc w:val="right"/>
              <w:rPr>
                <w:rFonts w:ascii="Arial" w:hAnsi="Arial" w:cs="Arial"/>
                <w:sz w:val="16"/>
                <w:szCs w:val="16"/>
              </w:rPr>
            </w:pPr>
            <w:r w:rsidRPr="00A12963">
              <w:rPr>
                <w:rFonts w:ascii="Arial" w:hAnsi="Arial" w:cs="Arial"/>
                <w:i/>
                <w:iCs/>
                <w:sz w:val="16"/>
                <w:szCs w:val="16"/>
              </w:rPr>
              <w:t>V. P. - Commissioners</w:t>
            </w:r>
          </w:p>
          <w:p w:rsidR="00A12963" w:rsidRDefault="00A12963" w:rsidP="00A12963">
            <w:pPr>
              <w:widowControl w:val="0"/>
              <w:ind w:firstLine="71"/>
              <w:jc w:val="right"/>
              <w:rPr>
                <w:rFonts w:ascii="Arial" w:hAnsi="Arial" w:cs="Arial"/>
                <w:b/>
                <w:bCs/>
                <w:sz w:val="18"/>
                <w:szCs w:val="18"/>
              </w:rPr>
            </w:pPr>
          </w:p>
          <w:p w:rsidR="008270B0" w:rsidRPr="00A12963" w:rsidRDefault="008270B0" w:rsidP="00A12963">
            <w:pPr>
              <w:widowControl w:val="0"/>
              <w:ind w:firstLine="71"/>
              <w:jc w:val="right"/>
              <w:rPr>
                <w:rFonts w:ascii="Arial" w:hAnsi="Arial" w:cs="Arial"/>
                <w:sz w:val="18"/>
                <w:szCs w:val="18"/>
              </w:rPr>
            </w:pPr>
            <w:r w:rsidRPr="00A12963">
              <w:rPr>
                <w:rFonts w:ascii="Arial" w:hAnsi="Arial" w:cs="Arial"/>
                <w:b/>
                <w:bCs/>
                <w:sz w:val="18"/>
                <w:szCs w:val="18"/>
              </w:rPr>
              <w:t>Jodi Parker</w:t>
            </w:r>
          </w:p>
          <w:p w:rsidR="008270B0" w:rsidRPr="00A12963" w:rsidRDefault="008270B0" w:rsidP="00A12963">
            <w:pPr>
              <w:widowControl w:val="0"/>
              <w:ind w:firstLine="72"/>
              <w:jc w:val="right"/>
              <w:rPr>
                <w:rFonts w:ascii="Arial" w:hAnsi="Arial" w:cs="Arial"/>
                <w:sz w:val="16"/>
                <w:szCs w:val="16"/>
              </w:rPr>
            </w:pPr>
            <w:r w:rsidRPr="00A12963">
              <w:rPr>
                <w:rFonts w:ascii="Arial" w:hAnsi="Arial" w:cs="Arial"/>
                <w:i/>
                <w:iCs/>
                <w:sz w:val="16"/>
                <w:szCs w:val="16"/>
              </w:rPr>
              <w:t>V. P. - Professional Development</w:t>
            </w:r>
          </w:p>
          <w:p w:rsidR="00A12963" w:rsidRDefault="00A12963" w:rsidP="00A12963">
            <w:pPr>
              <w:widowControl w:val="0"/>
              <w:ind w:firstLine="71"/>
              <w:jc w:val="right"/>
              <w:rPr>
                <w:rFonts w:ascii="Arial" w:hAnsi="Arial" w:cs="Arial"/>
                <w:b/>
                <w:bCs/>
                <w:sz w:val="18"/>
                <w:szCs w:val="18"/>
              </w:rPr>
            </w:pPr>
          </w:p>
          <w:p w:rsidR="008270B0" w:rsidRPr="00A12963" w:rsidRDefault="00A3307B" w:rsidP="00A12963">
            <w:pPr>
              <w:widowControl w:val="0"/>
              <w:ind w:firstLine="71"/>
              <w:jc w:val="right"/>
              <w:rPr>
                <w:rFonts w:ascii="Arial" w:hAnsi="Arial" w:cs="Arial"/>
                <w:sz w:val="18"/>
                <w:szCs w:val="18"/>
              </w:rPr>
            </w:pPr>
            <w:r>
              <w:rPr>
                <w:rFonts w:ascii="Arial" w:hAnsi="Arial" w:cs="Arial"/>
                <w:b/>
                <w:bCs/>
                <w:sz w:val="18"/>
                <w:szCs w:val="18"/>
              </w:rPr>
              <w:t>Brad Bishop</w:t>
            </w:r>
          </w:p>
          <w:p w:rsidR="008270B0" w:rsidRPr="00A12963" w:rsidRDefault="008270B0" w:rsidP="00A12963">
            <w:pPr>
              <w:widowControl w:val="0"/>
              <w:ind w:firstLine="72"/>
              <w:jc w:val="right"/>
              <w:rPr>
                <w:rFonts w:ascii="Arial" w:hAnsi="Arial" w:cs="Arial"/>
                <w:sz w:val="16"/>
                <w:szCs w:val="16"/>
              </w:rPr>
            </w:pPr>
            <w:r w:rsidRPr="00A12963">
              <w:rPr>
                <w:rFonts w:ascii="Arial" w:hAnsi="Arial" w:cs="Arial"/>
                <w:i/>
                <w:iCs/>
                <w:sz w:val="16"/>
                <w:szCs w:val="16"/>
              </w:rPr>
              <w:t>V. P. - Membership Services</w:t>
            </w:r>
          </w:p>
          <w:p w:rsidR="00A12963" w:rsidRDefault="00A12963" w:rsidP="00A12963">
            <w:pPr>
              <w:widowControl w:val="0"/>
              <w:ind w:firstLine="71"/>
              <w:jc w:val="right"/>
              <w:rPr>
                <w:rFonts w:ascii="Arial" w:hAnsi="Arial" w:cs="Arial"/>
                <w:b/>
                <w:bCs/>
                <w:sz w:val="18"/>
                <w:szCs w:val="18"/>
              </w:rPr>
            </w:pPr>
          </w:p>
          <w:p w:rsidR="008270B0" w:rsidRPr="00A12963" w:rsidRDefault="00114020" w:rsidP="00A12963">
            <w:pPr>
              <w:widowControl w:val="0"/>
              <w:ind w:firstLine="71"/>
              <w:jc w:val="right"/>
              <w:rPr>
                <w:rFonts w:ascii="Arial" w:hAnsi="Arial" w:cs="Arial"/>
                <w:sz w:val="18"/>
                <w:szCs w:val="18"/>
              </w:rPr>
            </w:pPr>
            <w:r>
              <w:rPr>
                <w:rFonts w:ascii="Arial" w:hAnsi="Arial" w:cs="Arial"/>
                <w:b/>
                <w:bCs/>
                <w:sz w:val="18"/>
                <w:szCs w:val="18"/>
              </w:rPr>
              <w:t>Shelli Goble</w:t>
            </w:r>
          </w:p>
          <w:p w:rsidR="008270B0" w:rsidRPr="00A12963" w:rsidRDefault="008270B0" w:rsidP="00A12963">
            <w:pPr>
              <w:widowControl w:val="0"/>
              <w:ind w:firstLine="72"/>
              <w:jc w:val="right"/>
              <w:rPr>
                <w:rFonts w:ascii="Arial" w:hAnsi="Arial" w:cs="Arial"/>
                <w:sz w:val="16"/>
                <w:szCs w:val="16"/>
              </w:rPr>
            </w:pPr>
            <w:r w:rsidRPr="00A12963">
              <w:rPr>
                <w:rFonts w:ascii="Arial" w:hAnsi="Arial" w:cs="Arial"/>
                <w:i/>
                <w:iCs/>
                <w:sz w:val="16"/>
                <w:szCs w:val="16"/>
              </w:rPr>
              <w:t>V. P. - Community Development</w:t>
            </w:r>
          </w:p>
          <w:p w:rsidR="00A12963" w:rsidRDefault="00A12963" w:rsidP="00A12963">
            <w:pPr>
              <w:widowControl w:val="0"/>
              <w:ind w:firstLine="71"/>
              <w:jc w:val="right"/>
              <w:rPr>
                <w:rFonts w:ascii="Arial" w:hAnsi="Arial" w:cs="Arial"/>
                <w:b/>
                <w:bCs/>
                <w:sz w:val="18"/>
                <w:szCs w:val="18"/>
              </w:rPr>
            </w:pPr>
          </w:p>
          <w:p w:rsidR="008270B0" w:rsidRPr="00A12963" w:rsidRDefault="008270B0" w:rsidP="00A12963">
            <w:pPr>
              <w:widowControl w:val="0"/>
              <w:ind w:firstLine="71"/>
              <w:jc w:val="right"/>
              <w:rPr>
                <w:rFonts w:ascii="Arial" w:hAnsi="Arial" w:cs="Arial"/>
                <w:sz w:val="18"/>
                <w:szCs w:val="18"/>
              </w:rPr>
            </w:pPr>
            <w:r w:rsidRPr="00A12963">
              <w:rPr>
                <w:rFonts w:ascii="Arial" w:hAnsi="Arial" w:cs="Arial"/>
                <w:b/>
                <w:bCs/>
                <w:sz w:val="18"/>
                <w:szCs w:val="18"/>
              </w:rPr>
              <w:t>Kerry Steadman</w:t>
            </w:r>
          </w:p>
          <w:p w:rsidR="008270B0" w:rsidRPr="00A12963" w:rsidRDefault="008270B0" w:rsidP="00A12963">
            <w:pPr>
              <w:widowControl w:val="0"/>
              <w:ind w:firstLine="72"/>
              <w:jc w:val="right"/>
              <w:rPr>
                <w:rFonts w:ascii="Arial" w:hAnsi="Arial" w:cs="Arial"/>
                <w:sz w:val="16"/>
                <w:szCs w:val="16"/>
              </w:rPr>
            </w:pPr>
            <w:r w:rsidRPr="00A12963">
              <w:rPr>
                <w:rFonts w:ascii="Arial" w:hAnsi="Arial" w:cs="Arial"/>
                <w:i/>
                <w:iCs/>
                <w:sz w:val="16"/>
                <w:szCs w:val="16"/>
              </w:rPr>
              <w:t>V. P. - Housing</w:t>
            </w:r>
          </w:p>
          <w:p w:rsidR="00A12963" w:rsidRDefault="00A12963" w:rsidP="00A12963">
            <w:pPr>
              <w:widowControl w:val="0"/>
              <w:ind w:firstLine="71"/>
              <w:jc w:val="right"/>
              <w:rPr>
                <w:rFonts w:ascii="Arial" w:hAnsi="Arial" w:cs="Arial"/>
                <w:b/>
                <w:bCs/>
                <w:sz w:val="18"/>
                <w:szCs w:val="18"/>
              </w:rPr>
            </w:pPr>
          </w:p>
          <w:p w:rsidR="008270B0" w:rsidRPr="00A12963" w:rsidRDefault="00B42536" w:rsidP="00A12963">
            <w:pPr>
              <w:widowControl w:val="0"/>
              <w:ind w:firstLine="71"/>
              <w:jc w:val="right"/>
              <w:rPr>
                <w:rFonts w:ascii="Arial" w:hAnsi="Arial" w:cs="Arial"/>
                <w:sz w:val="18"/>
                <w:szCs w:val="18"/>
              </w:rPr>
            </w:pPr>
            <w:r>
              <w:rPr>
                <w:rFonts w:ascii="Arial" w:hAnsi="Arial" w:cs="Arial"/>
                <w:b/>
                <w:bCs/>
                <w:sz w:val="18"/>
                <w:szCs w:val="18"/>
              </w:rPr>
              <w:t>Claudia O’Grady</w:t>
            </w:r>
          </w:p>
          <w:p w:rsidR="008270B0" w:rsidRPr="00A12963" w:rsidRDefault="008270B0" w:rsidP="00A12963">
            <w:pPr>
              <w:widowControl w:val="0"/>
              <w:ind w:firstLine="72"/>
              <w:jc w:val="right"/>
              <w:rPr>
                <w:rFonts w:ascii="Arial" w:hAnsi="Arial" w:cs="Arial"/>
                <w:sz w:val="16"/>
                <w:szCs w:val="16"/>
              </w:rPr>
            </w:pPr>
            <w:r w:rsidRPr="00A12963">
              <w:rPr>
                <w:rFonts w:ascii="Arial" w:hAnsi="Arial" w:cs="Arial"/>
                <w:i/>
                <w:iCs/>
                <w:sz w:val="16"/>
                <w:szCs w:val="16"/>
              </w:rPr>
              <w:t>V. P. - Redevelopment</w:t>
            </w:r>
          </w:p>
          <w:p w:rsidR="00A12963" w:rsidRDefault="00A12963" w:rsidP="00A12963">
            <w:pPr>
              <w:widowControl w:val="0"/>
              <w:ind w:firstLine="71"/>
              <w:jc w:val="right"/>
              <w:rPr>
                <w:rFonts w:ascii="Arial" w:hAnsi="Arial" w:cs="Arial"/>
                <w:b/>
                <w:bCs/>
                <w:sz w:val="18"/>
                <w:szCs w:val="18"/>
              </w:rPr>
            </w:pPr>
          </w:p>
          <w:p w:rsidR="008270B0" w:rsidRPr="00A12963" w:rsidRDefault="00114020" w:rsidP="00A12963">
            <w:pPr>
              <w:widowControl w:val="0"/>
              <w:ind w:firstLine="71"/>
              <w:jc w:val="right"/>
              <w:rPr>
                <w:rFonts w:ascii="Arial" w:hAnsi="Arial" w:cs="Arial"/>
                <w:sz w:val="18"/>
                <w:szCs w:val="18"/>
              </w:rPr>
            </w:pPr>
            <w:r>
              <w:rPr>
                <w:rFonts w:ascii="Arial" w:hAnsi="Arial" w:cs="Arial"/>
                <w:b/>
                <w:bCs/>
                <w:sz w:val="18"/>
                <w:szCs w:val="18"/>
              </w:rPr>
              <w:t>Michelle Flynn</w:t>
            </w:r>
          </w:p>
          <w:p w:rsidR="008270B0" w:rsidRPr="00A12963" w:rsidRDefault="008270B0" w:rsidP="00A12963">
            <w:pPr>
              <w:widowControl w:val="0"/>
              <w:ind w:firstLine="71"/>
              <w:jc w:val="right"/>
              <w:rPr>
                <w:rFonts w:ascii="Arial" w:hAnsi="Arial" w:cs="Arial"/>
                <w:sz w:val="16"/>
                <w:szCs w:val="16"/>
              </w:rPr>
            </w:pPr>
            <w:r w:rsidRPr="00A12963">
              <w:rPr>
                <w:rFonts w:ascii="Arial" w:hAnsi="Arial" w:cs="Arial"/>
                <w:i/>
                <w:iCs/>
                <w:sz w:val="16"/>
                <w:szCs w:val="16"/>
              </w:rPr>
              <w:t>V. P. - Homelessness</w:t>
            </w:r>
          </w:p>
          <w:p w:rsidR="008270B0" w:rsidRPr="00A76E9A" w:rsidRDefault="008270B0" w:rsidP="00A12963">
            <w:pPr>
              <w:widowControl w:val="0"/>
              <w:ind w:firstLine="71"/>
              <w:jc w:val="right"/>
              <w:rPr>
                <w:rFonts w:ascii="Arial" w:hAnsi="Arial" w:cs="Arial"/>
                <w:b/>
                <w:bCs/>
                <w:sz w:val="20"/>
                <w:szCs w:val="20"/>
              </w:rPr>
            </w:pPr>
          </w:p>
          <w:p w:rsidR="008270B0" w:rsidRPr="00A76E9A" w:rsidRDefault="008270B0" w:rsidP="00A12963">
            <w:pPr>
              <w:widowControl w:val="0"/>
              <w:ind w:firstLine="71"/>
              <w:jc w:val="right"/>
              <w:rPr>
                <w:rFonts w:ascii="Arial" w:hAnsi="Arial" w:cs="Arial"/>
              </w:rPr>
            </w:pPr>
            <w:r w:rsidRPr="00A76E9A">
              <w:rPr>
                <w:rFonts w:ascii="Arial" w:hAnsi="Arial" w:cs="Arial"/>
                <w:b/>
                <w:bCs/>
                <w:sz w:val="20"/>
                <w:szCs w:val="20"/>
              </w:rPr>
              <w:t> </w:t>
            </w:r>
          </w:p>
          <w:p w:rsidR="008270B0" w:rsidRPr="00A12963" w:rsidRDefault="008270B0" w:rsidP="00A12963">
            <w:pPr>
              <w:widowControl w:val="0"/>
              <w:spacing w:line="276" w:lineRule="auto"/>
              <w:ind w:firstLine="71"/>
              <w:jc w:val="right"/>
              <w:rPr>
                <w:rFonts w:ascii="Arial" w:hAnsi="Arial" w:cs="Arial"/>
                <w:sz w:val="18"/>
                <w:szCs w:val="18"/>
              </w:rPr>
            </w:pPr>
            <w:r w:rsidRPr="00A12963">
              <w:rPr>
                <w:rFonts w:ascii="Arial" w:hAnsi="Arial" w:cs="Arial"/>
                <w:b/>
                <w:bCs/>
                <w:sz w:val="18"/>
                <w:szCs w:val="18"/>
              </w:rPr>
              <w:t>PAST PRESIDENTS</w:t>
            </w:r>
          </w:p>
          <w:p w:rsidR="00114020" w:rsidRDefault="00114020" w:rsidP="00A12963">
            <w:pPr>
              <w:widowControl w:val="0"/>
              <w:ind w:firstLine="71"/>
              <w:jc w:val="right"/>
              <w:rPr>
                <w:rFonts w:ascii="Arial" w:hAnsi="Arial" w:cs="Arial"/>
                <w:bCs/>
                <w:i/>
                <w:sz w:val="16"/>
                <w:szCs w:val="16"/>
              </w:rPr>
            </w:pPr>
            <w:r>
              <w:rPr>
                <w:rFonts w:ascii="Arial" w:hAnsi="Arial" w:cs="Arial"/>
                <w:bCs/>
                <w:i/>
                <w:sz w:val="16"/>
                <w:szCs w:val="16"/>
              </w:rPr>
              <w:t>Kerry Bate</w:t>
            </w:r>
          </w:p>
          <w:p w:rsidR="008270B0" w:rsidRPr="00A12963" w:rsidRDefault="008270B0" w:rsidP="00A12963">
            <w:pPr>
              <w:widowControl w:val="0"/>
              <w:ind w:firstLine="71"/>
              <w:jc w:val="right"/>
              <w:rPr>
                <w:rFonts w:ascii="Arial" w:hAnsi="Arial" w:cs="Arial"/>
                <w:i/>
                <w:sz w:val="16"/>
                <w:szCs w:val="16"/>
              </w:rPr>
            </w:pPr>
            <w:r w:rsidRPr="00A12963">
              <w:rPr>
                <w:rFonts w:ascii="Arial" w:hAnsi="Arial" w:cs="Arial"/>
                <w:bCs/>
                <w:i/>
                <w:sz w:val="16"/>
                <w:szCs w:val="16"/>
              </w:rPr>
              <w:t>Michael Gallegos</w:t>
            </w:r>
          </w:p>
          <w:p w:rsidR="008270B0" w:rsidRPr="00A12963" w:rsidRDefault="008270B0" w:rsidP="00A12963">
            <w:pPr>
              <w:widowControl w:val="0"/>
              <w:ind w:firstLine="71"/>
              <w:jc w:val="right"/>
              <w:rPr>
                <w:rFonts w:ascii="Arial" w:hAnsi="Arial" w:cs="Arial"/>
                <w:i/>
                <w:sz w:val="16"/>
                <w:szCs w:val="16"/>
              </w:rPr>
            </w:pPr>
            <w:r w:rsidRPr="00A12963">
              <w:rPr>
                <w:rFonts w:ascii="Arial" w:hAnsi="Arial" w:cs="Arial"/>
                <w:i/>
                <w:sz w:val="16"/>
                <w:szCs w:val="16"/>
              </w:rPr>
              <w:t>Terry Feveryear</w:t>
            </w:r>
          </w:p>
          <w:p w:rsidR="008270B0" w:rsidRPr="00A76E9A" w:rsidRDefault="008270B0" w:rsidP="00A12963">
            <w:pPr>
              <w:widowControl w:val="0"/>
              <w:ind w:firstLine="71"/>
              <w:jc w:val="right"/>
              <w:rPr>
                <w:rFonts w:ascii="Arial" w:hAnsi="Arial" w:cs="Arial"/>
                <w:sz w:val="20"/>
                <w:szCs w:val="20"/>
              </w:rPr>
            </w:pPr>
          </w:p>
          <w:p w:rsidR="008270B0" w:rsidRPr="00A12963" w:rsidRDefault="008270B0" w:rsidP="00A12963">
            <w:pPr>
              <w:widowControl w:val="0"/>
              <w:spacing w:line="276" w:lineRule="auto"/>
              <w:ind w:firstLine="71"/>
              <w:jc w:val="right"/>
              <w:rPr>
                <w:rFonts w:ascii="Arial" w:hAnsi="Arial" w:cs="Arial"/>
                <w:sz w:val="18"/>
                <w:szCs w:val="18"/>
              </w:rPr>
            </w:pPr>
            <w:r w:rsidRPr="00A12963">
              <w:rPr>
                <w:rFonts w:ascii="Arial" w:hAnsi="Arial" w:cs="Arial"/>
                <w:b/>
                <w:bCs/>
                <w:sz w:val="18"/>
                <w:szCs w:val="18"/>
              </w:rPr>
              <w:t>REGIONAL</w:t>
            </w:r>
          </w:p>
          <w:p w:rsidR="008270B0" w:rsidRPr="00A12963" w:rsidRDefault="00A3307B" w:rsidP="00A12963">
            <w:pPr>
              <w:widowControl w:val="0"/>
              <w:ind w:firstLine="71"/>
              <w:jc w:val="right"/>
              <w:rPr>
                <w:rFonts w:ascii="Arial" w:hAnsi="Arial" w:cs="Arial"/>
                <w:i/>
                <w:sz w:val="16"/>
                <w:szCs w:val="16"/>
              </w:rPr>
            </w:pPr>
            <w:r>
              <w:rPr>
                <w:rFonts w:ascii="Arial" w:hAnsi="Arial" w:cs="Arial"/>
                <w:i/>
                <w:sz w:val="16"/>
                <w:szCs w:val="16"/>
              </w:rPr>
              <w:t>Don May</w:t>
            </w:r>
          </w:p>
          <w:p w:rsidR="008270B0" w:rsidRPr="00A76E9A" w:rsidRDefault="008270B0" w:rsidP="00A12963">
            <w:pPr>
              <w:widowControl w:val="0"/>
              <w:ind w:firstLine="71"/>
              <w:jc w:val="right"/>
              <w:rPr>
                <w:rFonts w:ascii="Arial" w:hAnsi="Arial" w:cs="Arial"/>
                <w:sz w:val="20"/>
                <w:szCs w:val="20"/>
              </w:rPr>
            </w:pPr>
          </w:p>
          <w:p w:rsidR="008270B0" w:rsidRPr="00A12963" w:rsidRDefault="008270B0" w:rsidP="00A12963">
            <w:pPr>
              <w:widowControl w:val="0"/>
              <w:spacing w:line="276" w:lineRule="auto"/>
              <w:ind w:firstLine="71"/>
              <w:jc w:val="right"/>
              <w:rPr>
                <w:rFonts w:ascii="Arial" w:hAnsi="Arial" w:cs="Arial"/>
                <w:sz w:val="18"/>
                <w:szCs w:val="18"/>
              </w:rPr>
            </w:pPr>
            <w:r w:rsidRPr="00A12963">
              <w:rPr>
                <w:rFonts w:ascii="Arial" w:hAnsi="Arial" w:cs="Arial"/>
                <w:b/>
                <w:bCs/>
                <w:sz w:val="18"/>
                <w:szCs w:val="18"/>
              </w:rPr>
              <w:t>NATIONAL</w:t>
            </w:r>
          </w:p>
          <w:p w:rsidR="008270B0" w:rsidRDefault="008270B0" w:rsidP="00A12963">
            <w:pPr>
              <w:widowControl w:val="0"/>
              <w:ind w:firstLine="71"/>
              <w:jc w:val="right"/>
              <w:rPr>
                <w:rFonts w:ascii="Arial" w:hAnsi="Arial" w:cs="Arial"/>
                <w:i/>
                <w:sz w:val="16"/>
                <w:szCs w:val="16"/>
              </w:rPr>
            </w:pPr>
            <w:r w:rsidRPr="00A12963">
              <w:rPr>
                <w:rFonts w:ascii="Arial" w:hAnsi="Arial" w:cs="Arial"/>
                <w:i/>
                <w:sz w:val="16"/>
                <w:szCs w:val="16"/>
              </w:rPr>
              <w:t>LuAnn Clark</w:t>
            </w:r>
          </w:p>
          <w:p w:rsidR="00A3307B" w:rsidRDefault="00A3307B" w:rsidP="00A12963">
            <w:pPr>
              <w:widowControl w:val="0"/>
              <w:ind w:firstLine="71"/>
              <w:jc w:val="right"/>
              <w:rPr>
                <w:rFonts w:ascii="Arial" w:hAnsi="Arial" w:cs="Arial"/>
                <w:i/>
                <w:sz w:val="16"/>
                <w:szCs w:val="16"/>
              </w:rPr>
            </w:pPr>
            <w:r>
              <w:rPr>
                <w:rFonts w:ascii="Arial" w:hAnsi="Arial" w:cs="Arial"/>
                <w:i/>
                <w:sz w:val="16"/>
                <w:szCs w:val="16"/>
              </w:rPr>
              <w:t>Terry Feveryear</w:t>
            </w:r>
          </w:p>
          <w:p w:rsidR="00A3307B" w:rsidRPr="00A12963" w:rsidRDefault="00A3307B" w:rsidP="00A12963">
            <w:pPr>
              <w:widowControl w:val="0"/>
              <w:ind w:firstLine="71"/>
              <w:jc w:val="right"/>
              <w:rPr>
                <w:rFonts w:ascii="Arial" w:hAnsi="Arial" w:cs="Arial"/>
                <w:i/>
                <w:sz w:val="16"/>
                <w:szCs w:val="16"/>
              </w:rPr>
            </w:pPr>
            <w:r>
              <w:rPr>
                <w:rFonts w:ascii="Arial" w:hAnsi="Arial" w:cs="Arial"/>
                <w:i/>
                <w:sz w:val="16"/>
                <w:szCs w:val="16"/>
              </w:rPr>
              <w:t>Michael Gallegos</w:t>
            </w:r>
          </w:p>
          <w:p w:rsidR="008270B0" w:rsidRDefault="008270B0" w:rsidP="00A12963">
            <w:pPr>
              <w:widowControl w:val="0"/>
              <w:ind w:firstLine="71"/>
              <w:rPr>
                <w:rFonts w:ascii="Arial" w:hAnsi="Arial" w:cs="Arial"/>
                <w:sz w:val="20"/>
                <w:szCs w:val="20"/>
              </w:rPr>
            </w:pPr>
          </w:p>
          <w:p w:rsidR="008270B0" w:rsidRPr="008270B0" w:rsidRDefault="008270B0" w:rsidP="00A12963">
            <w:pPr>
              <w:widowControl w:val="0"/>
              <w:ind w:firstLine="71"/>
              <w:rPr>
                <w:rFonts w:ascii="Arial" w:hAnsi="Arial" w:cs="Arial"/>
                <w:sz w:val="20"/>
                <w:szCs w:val="20"/>
              </w:rPr>
            </w:pPr>
          </w:p>
        </w:tc>
      </w:tr>
    </w:tbl>
    <w:p w:rsidR="00CD6343" w:rsidRDefault="00CD6343" w:rsidP="008270B0">
      <w:pPr>
        <w:rPr>
          <w:i/>
        </w:rPr>
      </w:pPr>
    </w:p>
    <w:p w:rsidR="00036EA7" w:rsidRDefault="00036EA7" w:rsidP="008270B0">
      <w:pPr>
        <w:rPr>
          <w:i/>
        </w:rPr>
      </w:pPr>
    </w:p>
    <w:p w:rsidR="00036EA7" w:rsidRDefault="00036EA7" w:rsidP="008270B0">
      <w:pPr>
        <w:rPr>
          <w:i/>
        </w:rPr>
      </w:pPr>
    </w:p>
    <w:p w:rsidR="00036EA7" w:rsidRDefault="0034052F" w:rsidP="008270B0">
      <w:pPr>
        <w:rPr>
          <w:rFonts w:asciiTheme="minorHAnsi" w:hAnsiTheme="minorHAnsi"/>
        </w:rPr>
      </w:pPr>
      <w:r>
        <w:rPr>
          <w:rFonts w:asciiTheme="minorHAnsi" w:hAnsiTheme="minorHAnsi"/>
        </w:rPr>
        <w:t>March 15, 2012</w:t>
      </w:r>
    </w:p>
    <w:p w:rsidR="0034052F" w:rsidRDefault="0034052F" w:rsidP="008270B0">
      <w:pPr>
        <w:rPr>
          <w:rFonts w:asciiTheme="minorHAnsi" w:hAnsiTheme="minorHAnsi"/>
        </w:rPr>
      </w:pPr>
    </w:p>
    <w:p w:rsidR="0034052F" w:rsidRDefault="0034052F" w:rsidP="008270B0">
      <w:pPr>
        <w:rPr>
          <w:rFonts w:asciiTheme="minorHAnsi" w:hAnsiTheme="minorHAnsi"/>
        </w:rPr>
      </w:pPr>
    </w:p>
    <w:p w:rsidR="0034052F" w:rsidRDefault="0034052F" w:rsidP="008270B0">
      <w:pPr>
        <w:rPr>
          <w:rFonts w:asciiTheme="minorHAnsi" w:hAnsiTheme="minorHAnsi"/>
        </w:rPr>
      </w:pPr>
    </w:p>
    <w:p w:rsidR="0034052F" w:rsidRDefault="0034052F" w:rsidP="008270B0">
      <w:pPr>
        <w:rPr>
          <w:rFonts w:asciiTheme="minorHAnsi" w:hAnsiTheme="minorHAnsi"/>
        </w:rPr>
      </w:pPr>
      <w:r>
        <w:rPr>
          <w:rFonts w:asciiTheme="minorHAnsi" w:hAnsiTheme="minorHAnsi"/>
        </w:rPr>
        <w:t xml:space="preserve">Congressman </w:t>
      </w:r>
      <w:r w:rsidR="00B31FB9">
        <w:rPr>
          <w:rFonts w:asciiTheme="minorHAnsi" w:hAnsiTheme="minorHAnsi"/>
        </w:rPr>
        <w:t>Rob Bishop</w:t>
      </w:r>
    </w:p>
    <w:p w:rsidR="0034052F" w:rsidRDefault="00B31FB9" w:rsidP="008270B0">
      <w:pPr>
        <w:rPr>
          <w:rFonts w:asciiTheme="minorHAnsi" w:hAnsiTheme="minorHAnsi"/>
        </w:rPr>
      </w:pPr>
      <w:r>
        <w:rPr>
          <w:rFonts w:asciiTheme="minorHAnsi" w:hAnsiTheme="minorHAnsi"/>
        </w:rPr>
        <w:t>123 Cannon Building</w:t>
      </w:r>
    </w:p>
    <w:p w:rsidR="0034052F" w:rsidRDefault="0034052F" w:rsidP="008270B0">
      <w:pPr>
        <w:rPr>
          <w:rFonts w:asciiTheme="minorHAnsi" w:hAnsiTheme="minorHAnsi"/>
        </w:rPr>
      </w:pPr>
      <w:r>
        <w:rPr>
          <w:rFonts w:asciiTheme="minorHAnsi" w:hAnsiTheme="minorHAnsi"/>
        </w:rPr>
        <w:t>Washington, DC 20515</w:t>
      </w:r>
    </w:p>
    <w:p w:rsidR="0034052F" w:rsidRDefault="0034052F" w:rsidP="008270B0">
      <w:pPr>
        <w:rPr>
          <w:rFonts w:asciiTheme="minorHAnsi" w:hAnsiTheme="minorHAnsi"/>
        </w:rPr>
      </w:pPr>
    </w:p>
    <w:p w:rsidR="0034052F" w:rsidRDefault="0034052F" w:rsidP="008270B0">
      <w:pPr>
        <w:rPr>
          <w:rFonts w:asciiTheme="minorHAnsi" w:hAnsiTheme="minorHAnsi"/>
        </w:rPr>
      </w:pPr>
      <w:r>
        <w:rPr>
          <w:rFonts w:asciiTheme="minorHAnsi" w:hAnsiTheme="minorHAnsi"/>
        </w:rPr>
        <w:t xml:space="preserve">Dear Congressman </w:t>
      </w:r>
      <w:r w:rsidR="00B31FB9">
        <w:rPr>
          <w:rFonts w:asciiTheme="minorHAnsi" w:hAnsiTheme="minorHAnsi"/>
        </w:rPr>
        <w:t>Bishop</w:t>
      </w:r>
      <w:r>
        <w:rPr>
          <w:rFonts w:asciiTheme="minorHAnsi" w:hAnsiTheme="minorHAnsi"/>
        </w:rPr>
        <w:t>:</w:t>
      </w:r>
    </w:p>
    <w:p w:rsidR="0034052F" w:rsidRDefault="0034052F" w:rsidP="008270B0">
      <w:pPr>
        <w:rPr>
          <w:rFonts w:asciiTheme="minorHAnsi" w:hAnsiTheme="minorHAnsi"/>
        </w:rPr>
      </w:pPr>
    </w:p>
    <w:p w:rsidR="0034052F" w:rsidRDefault="0034052F" w:rsidP="008270B0">
      <w:pPr>
        <w:rPr>
          <w:rFonts w:asciiTheme="minorHAnsi" w:hAnsiTheme="minorHAnsi"/>
        </w:rPr>
      </w:pPr>
      <w:r>
        <w:rPr>
          <w:rFonts w:asciiTheme="minorHAnsi" w:hAnsiTheme="minorHAnsi"/>
        </w:rPr>
        <w:t>The Utah Chapter of NAHRO is a membership organization whose purpose is to provide professional development, advocacy and networking opportunities for public housing and community development agencies, as well as other individuals and organizations working to enhance the affordable housing industry and promote viable communities in Utah.  Collectively, Utah Chapter of NAHRO represents 18 housing authorities, serving</w:t>
      </w:r>
      <w:r w:rsidR="00F60B22">
        <w:rPr>
          <w:rFonts w:asciiTheme="minorHAnsi" w:hAnsiTheme="minorHAnsi"/>
        </w:rPr>
        <w:t xml:space="preserve"> 1</w:t>
      </w:r>
      <w:r w:rsidR="00F60B22" w:rsidRPr="00F60B22">
        <w:rPr>
          <w:rFonts w:asciiTheme="minorHAnsi" w:hAnsiTheme="minorHAnsi"/>
        </w:rPr>
        <w:t>2,342</w:t>
      </w:r>
      <w:r w:rsidR="00F60B22">
        <w:rPr>
          <w:rFonts w:asciiTheme="minorHAnsi" w:hAnsiTheme="minorHAnsi"/>
        </w:rPr>
        <w:t xml:space="preserve"> </w:t>
      </w:r>
      <w:r>
        <w:rPr>
          <w:rFonts w:asciiTheme="minorHAnsi" w:hAnsiTheme="minorHAnsi"/>
        </w:rPr>
        <w:t>individuals and families</w:t>
      </w:r>
      <w:r w:rsidR="00403EFD">
        <w:rPr>
          <w:rFonts w:asciiTheme="minorHAnsi" w:hAnsiTheme="minorHAnsi"/>
        </w:rPr>
        <w:t xml:space="preserve"> in our state</w:t>
      </w:r>
      <w:r w:rsidR="00F60B22">
        <w:rPr>
          <w:rFonts w:asciiTheme="minorHAnsi" w:hAnsiTheme="minorHAnsi"/>
        </w:rPr>
        <w:t xml:space="preserve"> through the Section 8 Housing Choice Voucher Program</w:t>
      </w:r>
      <w:r>
        <w:rPr>
          <w:rFonts w:asciiTheme="minorHAnsi" w:hAnsiTheme="minorHAnsi"/>
        </w:rPr>
        <w:t>.</w:t>
      </w:r>
    </w:p>
    <w:p w:rsidR="0034052F" w:rsidRDefault="0034052F" w:rsidP="008270B0">
      <w:pPr>
        <w:rPr>
          <w:rFonts w:asciiTheme="minorHAnsi" w:hAnsiTheme="minorHAnsi"/>
        </w:rPr>
      </w:pPr>
    </w:p>
    <w:p w:rsidR="00080CBC" w:rsidRDefault="0034052F" w:rsidP="008270B0">
      <w:pPr>
        <w:rPr>
          <w:rFonts w:asciiTheme="minorHAnsi" w:hAnsiTheme="minorHAnsi"/>
        </w:rPr>
      </w:pPr>
      <w:r>
        <w:rPr>
          <w:rFonts w:asciiTheme="minorHAnsi" w:hAnsiTheme="minorHAnsi"/>
        </w:rPr>
        <w:t>The purpose of this letter is to share with you, from a frontline perspective, the negative impact federal budget cuts to housing and community development p</w:t>
      </w:r>
      <w:r w:rsidR="00080CBC">
        <w:rPr>
          <w:rFonts w:asciiTheme="minorHAnsi" w:hAnsiTheme="minorHAnsi"/>
        </w:rPr>
        <w:t>r</w:t>
      </w:r>
      <w:r>
        <w:rPr>
          <w:rFonts w:asciiTheme="minorHAnsi" w:hAnsiTheme="minorHAnsi"/>
        </w:rPr>
        <w:t>o</w:t>
      </w:r>
      <w:r w:rsidR="00080CBC">
        <w:rPr>
          <w:rFonts w:asciiTheme="minorHAnsi" w:hAnsiTheme="minorHAnsi"/>
        </w:rPr>
        <w:t>g</w:t>
      </w:r>
      <w:r>
        <w:rPr>
          <w:rFonts w:asciiTheme="minorHAnsi" w:hAnsiTheme="minorHAnsi"/>
        </w:rPr>
        <w:t>rams are having to</w:t>
      </w:r>
      <w:r w:rsidR="00080CBC">
        <w:rPr>
          <w:rFonts w:asciiTheme="minorHAnsi" w:hAnsiTheme="minorHAnsi"/>
        </w:rPr>
        <w:t xml:space="preserve"> programs and services we provide to low-income working families, seniors and disabled individuals.  Due to the continued slow pace of economic recovery, these funding cuts are occurring at a time when demand for our housing services are increasing statewide.  </w:t>
      </w:r>
      <w:r w:rsidR="008A249F">
        <w:rPr>
          <w:rFonts w:asciiTheme="minorHAnsi" w:hAnsiTheme="minorHAnsi"/>
        </w:rPr>
        <w:t>Acknowledging</w:t>
      </w:r>
      <w:r w:rsidR="00080CBC">
        <w:rPr>
          <w:rFonts w:asciiTheme="minorHAnsi" w:hAnsiTheme="minorHAnsi"/>
        </w:rPr>
        <w:t xml:space="preserve"> the political climate that we find ourselves in, which has prioritized deficit reductions over full funding of safety net programs, our request to the Department of Housing and Urban Development is to implement with the greatest urgency possible the regulatory and administrative relief efforts recommended by NAHRO and other industry leaders.  In this letter the members of Utah NAHRO outline the administrative relief efforts that we urge HUD to implement immediately so that we can manage through these challenging financial times with a minimum level of impact to the families we serve.</w:t>
      </w:r>
    </w:p>
    <w:p w:rsidR="00080CBC" w:rsidRDefault="00080CBC" w:rsidP="008270B0">
      <w:pPr>
        <w:rPr>
          <w:rFonts w:asciiTheme="minorHAnsi" w:hAnsiTheme="minorHAnsi"/>
        </w:rPr>
      </w:pPr>
    </w:p>
    <w:p w:rsidR="00080CBC" w:rsidRDefault="00080CBC" w:rsidP="008270B0">
      <w:pPr>
        <w:rPr>
          <w:rFonts w:asciiTheme="minorHAnsi" w:hAnsiTheme="minorHAnsi"/>
        </w:rPr>
      </w:pPr>
      <w:r>
        <w:rPr>
          <w:rFonts w:asciiTheme="minorHAnsi" w:hAnsiTheme="minorHAnsi"/>
        </w:rPr>
        <w:t>Utah NAHRO is requesting that you contact HUD indicating your support for the measures outlined in this letter, and request a response from HUD indicating when they intend to implement the program reforms.</w:t>
      </w:r>
    </w:p>
    <w:p w:rsidR="00080CBC" w:rsidRDefault="00080CBC" w:rsidP="008270B0">
      <w:pPr>
        <w:rPr>
          <w:rFonts w:asciiTheme="minorHAnsi" w:hAnsiTheme="minorHAnsi"/>
        </w:rPr>
      </w:pPr>
    </w:p>
    <w:p w:rsidR="008A249F" w:rsidRDefault="00080CBC" w:rsidP="008270B0">
      <w:pPr>
        <w:rPr>
          <w:rFonts w:asciiTheme="minorHAnsi" w:hAnsiTheme="minorHAnsi"/>
        </w:rPr>
      </w:pPr>
      <w:r>
        <w:rPr>
          <w:rFonts w:asciiTheme="minorHAnsi" w:hAnsiTheme="minorHAnsi"/>
        </w:rPr>
        <w:t xml:space="preserve">The 2012 HUD budget approved and enacted by Congress is forcing all housing authorities across the country to absorb a 25% cut to our Housing Choice Voucher administrative fees.  In Utah this 25% cut represents approximately </w:t>
      </w:r>
    </w:p>
    <w:p w:rsidR="00F60B22" w:rsidRDefault="00080CBC" w:rsidP="008270B0">
      <w:pPr>
        <w:rPr>
          <w:rFonts w:asciiTheme="minorHAnsi" w:hAnsiTheme="minorHAnsi"/>
        </w:rPr>
      </w:pPr>
      <w:proofErr w:type="gramStart"/>
      <w:r>
        <w:rPr>
          <w:rFonts w:asciiTheme="minorHAnsi" w:hAnsiTheme="minorHAnsi"/>
        </w:rPr>
        <w:t xml:space="preserve">$ </w:t>
      </w:r>
      <w:r w:rsidR="00F60B22">
        <w:rPr>
          <w:rFonts w:asciiTheme="minorHAnsi" w:hAnsiTheme="minorHAnsi"/>
        </w:rPr>
        <w:t>2,182,484</w:t>
      </w:r>
      <w:r>
        <w:rPr>
          <w:rFonts w:asciiTheme="minorHAnsi" w:hAnsiTheme="minorHAnsi"/>
        </w:rPr>
        <w:t xml:space="preserve"> </w:t>
      </w:r>
      <w:r w:rsidR="008A249F">
        <w:rPr>
          <w:rFonts w:asciiTheme="minorHAnsi" w:hAnsiTheme="minorHAnsi"/>
        </w:rPr>
        <w:t>s</w:t>
      </w:r>
      <w:r>
        <w:rPr>
          <w:rFonts w:asciiTheme="minorHAnsi" w:hAnsiTheme="minorHAnsi"/>
        </w:rPr>
        <w:t>tatewide.</w:t>
      </w:r>
      <w:proofErr w:type="gramEnd"/>
      <w:r>
        <w:rPr>
          <w:rFonts w:asciiTheme="minorHAnsi" w:hAnsiTheme="minorHAnsi"/>
        </w:rPr>
        <w:t xml:space="preserve">  This decrease in annual funding comes on top of the approximately 10% cut in funding of admin fees </w:t>
      </w:r>
      <w:r w:rsidR="00F60B22">
        <w:rPr>
          <w:rFonts w:asciiTheme="minorHAnsi" w:hAnsiTheme="minorHAnsi"/>
        </w:rPr>
        <w:t xml:space="preserve">already experienced </w:t>
      </w:r>
      <w:r>
        <w:rPr>
          <w:rFonts w:asciiTheme="minorHAnsi" w:hAnsiTheme="minorHAnsi"/>
        </w:rPr>
        <w:t xml:space="preserve">in 2011.  </w:t>
      </w:r>
    </w:p>
    <w:p w:rsidR="00F60B22" w:rsidRDefault="00F60B22" w:rsidP="008270B0">
      <w:pPr>
        <w:rPr>
          <w:rFonts w:asciiTheme="minorHAnsi" w:hAnsiTheme="minorHAnsi"/>
        </w:rPr>
      </w:pPr>
    </w:p>
    <w:p w:rsidR="00F60B22" w:rsidRDefault="00F60B22" w:rsidP="008270B0">
      <w:pPr>
        <w:rPr>
          <w:rFonts w:asciiTheme="minorHAnsi" w:hAnsiTheme="minorHAnsi"/>
        </w:rPr>
      </w:pPr>
    </w:p>
    <w:p w:rsidR="00080CBC" w:rsidRDefault="00080CBC" w:rsidP="00F60B22">
      <w:pPr>
        <w:ind w:left="720"/>
        <w:rPr>
          <w:rFonts w:asciiTheme="minorHAnsi" w:hAnsiTheme="minorHAnsi"/>
        </w:rPr>
      </w:pPr>
      <w:r>
        <w:rPr>
          <w:rFonts w:asciiTheme="minorHAnsi" w:hAnsiTheme="minorHAnsi"/>
        </w:rPr>
        <w:t>While all members of</w:t>
      </w:r>
      <w:r w:rsidR="00F60B22">
        <w:rPr>
          <w:rFonts w:asciiTheme="minorHAnsi" w:hAnsiTheme="minorHAnsi"/>
        </w:rPr>
        <w:t xml:space="preserve"> </w:t>
      </w:r>
      <w:r>
        <w:rPr>
          <w:rFonts w:asciiTheme="minorHAnsi" w:hAnsiTheme="minorHAnsi"/>
        </w:rPr>
        <w:t>NAHRO administer housing choice vouchers, some members also administer community development block grants (CDBG) funds.  Some also own and manage low-income public housing portfolios.  Those members with multiple programs are also impacted by severe cuts of between 15% and 40% to those programs.</w:t>
      </w:r>
    </w:p>
    <w:p w:rsidR="00080CBC" w:rsidRDefault="00080CBC" w:rsidP="008270B0">
      <w:pPr>
        <w:rPr>
          <w:rFonts w:asciiTheme="minorHAnsi" w:hAnsiTheme="minorHAnsi"/>
        </w:rPr>
      </w:pPr>
    </w:p>
    <w:p w:rsidR="00080CBC" w:rsidRDefault="00080CBC" w:rsidP="00F9231C">
      <w:pPr>
        <w:ind w:left="720"/>
        <w:rPr>
          <w:rFonts w:asciiTheme="minorHAnsi" w:hAnsiTheme="minorHAnsi"/>
        </w:rPr>
      </w:pPr>
      <w:r>
        <w:rPr>
          <w:rFonts w:asciiTheme="minorHAnsi" w:hAnsiTheme="minorHAnsi"/>
        </w:rPr>
        <w:t>Housing Authority (HA) members are forced to make difficult choices in order to manage these program funding cuts.  Through attrition or staff reductions, Housing Choice Voucher (HCV) departments are operating at bare-bones levels.  Because funding of HAP vouchers remained constant, HA’s must administer the same number of vouchers with reduced staffing levels.  To date, neither Congress nor HUD has implemented any significant regulatory or statutory changes to the HCV program which would materially impact the compliance and administrative burden of the program.  Without regulatory relief this year, HA’s face the dire prospect of lower service levels to families.</w:t>
      </w:r>
    </w:p>
    <w:p w:rsidR="00080CBC" w:rsidRDefault="00080CBC" w:rsidP="008270B0">
      <w:pPr>
        <w:rPr>
          <w:rFonts w:asciiTheme="minorHAnsi" w:hAnsiTheme="minorHAnsi"/>
        </w:rPr>
      </w:pPr>
    </w:p>
    <w:p w:rsidR="00080CBC" w:rsidRDefault="00080CBC" w:rsidP="00F9231C">
      <w:pPr>
        <w:ind w:left="720"/>
        <w:rPr>
          <w:rFonts w:asciiTheme="minorHAnsi" w:hAnsiTheme="minorHAnsi"/>
        </w:rPr>
      </w:pPr>
      <w:r>
        <w:rPr>
          <w:rFonts w:asciiTheme="minorHAnsi" w:hAnsiTheme="minorHAnsi"/>
        </w:rPr>
        <w:t>In Utah, these funding cuts occur at a time when the need and demand for the housing programs we administer are at an all-time high.  We are facing the following in our community:</w:t>
      </w:r>
    </w:p>
    <w:p w:rsidR="00080CBC" w:rsidRDefault="00080CBC" w:rsidP="008270B0">
      <w:pPr>
        <w:rPr>
          <w:rFonts w:asciiTheme="minorHAnsi" w:hAnsiTheme="minorHAnsi"/>
        </w:rPr>
      </w:pPr>
    </w:p>
    <w:p w:rsidR="00080CBC" w:rsidRDefault="00080CBC" w:rsidP="008270B0">
      <w:pPr>
        <w:rPr>
          <w:rFonts w:asciiTheme="minorHAnsi" w:hAnsiTheme="minorHAnsi"/>
        </w:rPr>
      </w:pPr>
      <w:r>
        <w:rPr>
          <w:rFonts w:asciiTheme="minorHAnsi" w:hAnsiTheme="minorHAnsi"/>
        </w:rPr>
        <w:tab/>
      </w:r>
      <w:r>
        <w:rPr>
          <w:rFonts w:asciiTheme="minorHAnsi" w:hAnsiTheme="minorHAnsi"/>
        </w:rPr>
        <w:tab/>
      </w:r>
      <w:r w:rsidR="009838CF">
        <w:rPr>
          <w:rFonts w:asciiTheme="minorHAnsi" w:hAnsiTheme="minorHAnsi"/>
        </w:rPr>
        <w:tab/>
      </w:r>
      <w:r>
        <w:rPr>
          <w:rFonts w:asciiTheme="minorHAnsi" w:hAnsiTheme="minorHAnsi"/>
        </w:rPr>
        <w:t>2011 Unemployment Rate</w:t>
      </w:r>
      <w:r w:rsidR="009838CF">
        <w:rPr>
          <w:rFonts w:asciiTheme="minorHAnsi" w:hAnsiTheme="minorHAnsi"/>
        </w:rPr>
        <w:t>:</w:t>
      </w:r>
      <w:r>
        <w:rPr>
          <w:rFonts w:asciiTheme="minorHAnsi" w:hAnsiTheme="minorHAnsi"/>
        </w:rPr>
        <w:tab/>
        <w:t>6% or 169,033 individuals</w:t>
      </w:r>
    </w:p>
    <w:p w:rsidR="00080CBC" w:rsidRDefault="00080CBC" w:rsidP="008270B0">
      <w:pPr>
        <w:rPr>
          <w:rFonts w:asciiTheme="minorHAnsi" w:hAnsiTheme="minorHAnsi"/>
        </w:rPr>
      </w:pPr>
      <w:r>
        <w:rPr>
          <w:rFonts w:asciiTheme="minorHAnsi" w:hAnsiTheme="minorHAnsi"/>
        </w:rPr>
        <w:tab/>
      </w:r>
      <w:r w:rsidR="009838CF">
        <w:rPr>
          <w:rFonts w:asciiTheme="minorHAnsi" w:hAnsiTheme="minorHAnsi"/>
        </w:rPr>
        <w:tab/>
      </w:r>
      <w:r>
        <w:rPr>
          <w:rFonts w:asciiTheme="minorHAnsi" w:hAnsiTheme="minorHAnsi"/>
        </w:rPr>
        <w:tab/>
        <w:t>2011 Foreclosures</w:t>
      </w:r>
      <w:r w:rsidR="009838CF">
        <w:rPr>
          <w:rFonts w:asciiTheme="minorHAnsi" w:hAnsiTheme="minorHAnsi"/>
        </w:rPr>
        <w:t>:</w:t>
      </w:r>
      <w:r>
        <w:rPr>
          <w:rFonts w:asciiTheme="minorHAnsi" w:hAnsiTheme="minorHAnsi"/>
        </w:rPr>
        <w:tab/>
      </w:r>
      <w:r>
        <w:rPr>
          <w:rFonts w:asciiTheme="minorHAnsi" w:hAnsiTheme="minorHAnsi"/>
        </w:rPr>
        <w:tab/>
        <w:t>2.35% of all mortgages</w:t>
      </w:r>
    </w:p>
    <w:p w:rsidR="001208A0" w:rsidRDefault="001208A0" w:rsidP="008270B0">
      <w:pPr>
        <w:rPr>
          <w:rFonts w:asciiTheme="minorHAnsi" w:hAnsiTheme="minorHAnsi"/>
        </w:rPr>
      </w:pPr>
      <w:r>
        <w:rPr>
          <w:rFonts w:asciiTheme="minorHAnsi" w:hAnsiTheme="minorHAnsi"/>
        </w:rPr>
        <w:tab/>
      </w:r>
      <w:r>
        <w:rPr>
          <w:rFonts w:asciiTheme="minorHAnsi" w:hAnsiTheme="minorHAnsi"/>
        </w:rPr>
        <w:tab/>
      </w:r>
      <w:r w:rsidR="009838CF">
        <w:rPr>
          <w:rFonts w:asciiTheme="minorHAnsi" w:hAnsiTheme="minorHAnsi"/>
        </w:rPr>
        <w:tab/>
      </w:r>
      <w:r>
        <w:rPr>
          <w:rFonts w:asciiTheme="minorHAnsi" w:hAnsiTheme="minorHAnsi"/>
        </w:rPr>
        <w:t>Rental Vacancy Rate</w:t>
      </w:r>
      <w:r w:rsidR="009838CF">
        <w:rPr>
          <w:rFonts w:asciiTheme="minorHAnsi" w:hAnsiTheme="minorHAnsi"/>
        </w:rPr>
        <w:t>:</w:t>
      </w:r>
      <w:r>
        <w:rPr>
          <w:rFonts w:asciiTheme="minorHAnsi" w:hAnsiTheme="minorHAnsi"/>
        </w:rPr>
        <w:tab/>
      </w:r>
      <w:r>
        <w:rPr>
          <w:rFonts w:asciiTheme="minorHAnsi" w:hAnsiTheme="minorHAnsi"/>
        </w:rPr>
        <w:tab/>
        <w:t xml:space="preserve">5% </w:t>
      </w:r>
    </w:p>
    <w:p w:rsidR="00080CBC" w:rsidRDefault="001208A0" w:rsidP="008270B0">
      <w:pPr>
        <w:rPr>
          <w:rFonts w:asciiTheme="minorHAnsi" w:hAnsiTheme="minorHAnsi"/>
        </w:rPr>
      </w:pPr>
      <w:r>
        <w:rPr>
          <w:rFonts w:asciiTheme="minorHAnsi" w:hAnsiTheme="minorHAnsi"/>
        </w:rPr>
        <w:tab/>
      </w:r>
      <w:r>
        <w:rPr>
          <w:rFonts w:asciiTheme="minorHAnsi" w:hAnsiTheme="minorHAnsi"/>
        </w:rPr>
        <w:tab/>
      </w:r>
      <w:r w:rsidR="009838CF">
        <w:rPr>
          <w:rFonts w:asciiTheme="minorHAnsi" w:hAnsiTheme="minorHAnsi"/>
        </w:rPr>
        <w:tab/>
      </w:r>
      <w:r>
        <w:rPr>
          <w:rFonts w:asciiTheme="minorHAnsi" w:hAnsiTheme="minorHAnsi"/>
        </w:rPr>
        <w:t>2011 Homelessness</w:t>
      </w:r>
      <w:r w:rsidR="009838CF">
        <w:rPr>
          <w:rFonts w:asciiTheme="minorHAnsi" w:hAnsiTheme="minorHAnsi"/>
        </w:rPr>
        <w:t>:</w:t>
      </w:r>
      <w:r>
        <w:rPr>
          <w:rFonts w:asciiTheme="minorHAnsi" w:hAnsiTheme="minorHAnsi"/>
        </w:rPr>
        <w:tab/>
      </w:r>
      <w:r>
        <w:rPr>
          <w:rFonts w:asciiTheme="minorHAnsi" w:hAnsiTheme="minorHAnsi"/>
        </w:rPr>
        <w:tab/>
        <w:t>0.52% or 14,649 individuals</w:t>
      </w:r>
    </w:p>
    <w:p w:rsidR="001208A0" w:rsidRDefault="001208A0" w:rsidP="008270B0">
      <w:pPr>
        <w:rPr>
          <w:rFonts w:asciiTheme="minorHAnsi" w:hAnsiTheme="minorHAnsi"/>
        </w:rPr>
      </w:pPr>
      <w:r>
        <w:rPr>
          <w:rFonts w:asciiTheme="minorHAnsi" w:hAnsiTheme="minorHAnsi"/>
        </w:rPr>
        <w:tab/>
      </w:r>
      <w:r>
        <w:rPr>
          <w:rFonts w:asciiTheme="minorHAnsi" w:hAnsiTheme="minorHAnsi"/>
        </w:rPr>
        <w:tab/>
      </w:r>
      <w:r w:rsidR="009838CF">
        <w:rPr>
          <w:rFonts w:asciiTheme="minorHAnsi" w:hAnsiTheme="minorHAnsi"/>
        </w:rPr>
        <w:tab/>
      </w:r>
      <w:r>
        <w:rPr>
          <w:rFonts w:asciiTheme="minorHAnsi" w:hAnsiTheme="minorHAnsi"/>
        </w:rPr>
        <w:t>Poverty Rate</w:t>
      </w:r>
      <w:r w:rsidR="009838CF">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10.8% or 304,260 individuals</w:t>
      </w:r>
    </w:p>
    <w:p w:rsidR="001208A0" w:rsidRDefault="001208A0" w:rsidP="008270B0">
      <w:pPr>
        <w:rPr>
          <w:rFonts w:asciiTheme="minorHAnsi" w:hAnsiTheme="minorHAnsi"/>
        </w:rPr>
      </w:pPr>
    </w:p>
    <w:p w:rsidR="001208A0" w:rsidRDefault="001208A0" w:rsidP="00F9231C">
      <w:pPr>
        <w:ind w:left="720"/>
        <w:rPr>
          <w:rFonts w:asciiTheme="minorHAnsi" w:hAnsiTheme="minorHAnsi"/>
        </w:rPr>
      </w:pPr>
      <w:r>
        <w:rPr>
          <w:rFonts w:asciiTheme="minorHAnsi" w:hAnsiTheme="minorHAnsi"/>
        </w:rPr>
        <w:t>Continued numbers of high unemployment, foreclosures and a tight rental market are leaving a growing number of families</w:t>
      </w:r>
      <w:r w:rsidR="00F9231C">
        <w:rPr>
          <w:rFonts w:asciiTheme="minorHAnsi" w:hAnsiTheme="minorHAnsi"/>
        </w:rPr>
        <w:t xml:space="preserve"> homeless and/or in need or rental assistance to make ends meet.</w:t>
      </w:r>
    </w:p>
    <w:p w:rsidR="00F9231C" w:rsidRDefault="00F9231C" w:rsidP="008270B0">
      <w:pPr>
        <w:rPr>
          <w:rFonts w:asciiTheme="minorHAnsi" w:hAnsiTheme="minorHAnsi"/>
        </w:rPr>
      </w:pPr>
    </w:p>
    <w:p w:rsidR="00F9231C" w:rsidRDefault="00F9231C" w:rsidP="00F9231C">
      <w:pPr>
        <w:ind w:left="720"/>
        <w:rPr>
          <w:rFonts w:asciiTheme="minorHAnsi" w:hAnsiTheme="minorHAnsi"/>
        </w:rPr>
      </w:pPr>
      <w:r>
        <w:rPr>
          <w:rFonts w:asciiTheme="minorHAnsi" w:hAnsiTheme="minorHAnsi"/>
        </w:rPr>
        <w:t>While we all appreciate the recommendations outlined by HUD in PIH Notice 2012-15; much more needs to be done in order to manage through this challenging funding period.  Utah NAHRO requests that HUD partner with PHA’s to immediately implement additional, meaningful relief from unnecessary administrative and compliance burdens.  Only through collaboration and advocacy can we ensure that the individuals and families we serve are not the ones who bear the brunt of the underfunding of the Housing Choice Voucher program, as well as public housing and community development block grants.  We reiterate our request to HUD Secretary Donovan that the department proceed to implement, with the greatest urgency possible, the regulatory and administrative relief efforts recommended by NAHRO and other industry leaders, prioritizing revenue-generating and cost-saving reforms such as those highlighted here.</w:t>
      </w:r>
    </w:p>
    <w:p w:rsidR="00F9231C" w:rsidRDefault="00F9231C" w:rsidP="008270B0">
      <w:pPr>
        <w:rPr>
          <w:rFonts w:asciiTheme="minorHAnsi" w:hAnsiTheme="minorHAnsi"/>
        </w:rPr>
      </w:pPr>
    </w:p>
    <w:p w:rsidR="00F9231C" w:rsidRDefault="00F9231C" w:rsidP="00282757">
      <w:pPr>
        <w:ind w:left="1440" w:hanging="720"/>
        <w:rPr>
          <w:rFonts w:asciiTheme="minorHAnsi" w:hAnsiTheme="minorHAnsi"/>
        </w:rPr>
      </w:pPr>
      <w:r>
        <w:rPr>
          <w:rFonts w:asciiTheme="minorHAnsi" w:hAnsiTheme="minorHAnsi"/>
        </w:rPr>
        <w:t>1.</w:t>
      </w:r>
      <w:r>
        <w:rPr>
          <w:rFonts w:asciiTheme="minorHAnsi" w:hAnsiTheme="minorHAnsi"/>
        </w:rPr>
        <w:tab/>
        <w:t>Simplify income verification by enacting provisions relating to improved household income and asset determinations by enabling PHA’s to use participant actual past income from the previous 12 months, or current income as anticipated for the following 12 months.  This specific item from the original “rent refinement” interim rule is something that HUD can do now through regulation without having to introduce legislative language or wait to have legislative language enacted into law.</w:t>
      </w:r>
    </w:p>
    <w:p w:rsidR="00F9231C" w:rsidRDefault="00F9231C" w:rsidP="008270B0">
      <w:pPr>
        <w:rPr>
          <w:rFonts w:asciiTheme="minorHAnsi" w:hAnsiTheme="minorHAnsi"/>
        </w:rPr>
      </w:pPr>
    </w:p>
    <w:p w:rsidR="00F9231C" w:rsidRDefault="00F9231C" w:rsidP="008270B0">
      <w:pPr>
        <w:rPr>
          <w:rFonts w:asciiTheme="minorHAnsi" w:hAnsiTheme="minorHAnsi"/>
        </w:rPr>
      </w:pPr>
      <w:r>
        <w:rPr>
          <w:rFonts w:asciiTheme="minorHAnsi" w:hAnsiTheme="minorHAnsi"/>
        </w:rPr>
        <w:lastRenderedPageBreak/>
        <w:tab/>
      </w:r>
      <w:r w:rsidR="00282757">
        <w:rPr>
          <w:rFonts w:asciiTheme="minorHAnsi" w:hAnsiTheme="minorHAnsi"/>
        </w:rPr>
        <w:tab/>
      </w:r>
      <w:r>
        <w:rPr>
          <w:rFonts w:asciiTheme="minorHAnsi" w:hAnsiTheme="minorHAnsi"/>
        </w:rPr>
        <w:t>Other income reforms that should be prioritized:</w:t>
      </w:r>
    </w:p>
    <w:p w:rsidR="00F9231C" w:rsidRDefault="00F9231C" w:rsidP="008270B0">
      <w:pPr>
        <w:rPr>
          <w:rFonts w:asciiTheme="minorHAnsi" w:hAnsiTheme="minorHAnsi"/>
        </w:rPr>
      </w:pPr>
    </w:p>
    <w:p w:rsidR="00F9231C" w:rsidRDefault="00F9231C" w:rsidP="008270B0">
      <w:pPr>
        <w:rPr>
          <w:rFonts w:asciiTheme="minorHAnsi" w:hAnsiTheme="minorHAnsi"/>
        </w:rPr>
      </w:pPr>
      <w:r>
        <w:rPr>
          <w:rFonts w:asciiTheme="minorHAnsi" w:hAnsiTheme="minorHAnsi"/>
        </w:rPr>
        <w:tab/>
      </w:r>
      <w:r w:rsidR="00282757">
        <w:rPr>
          <w:rFonts w:asciiTheme="minorHAnsi" w:hAnsiTheme="minorHAnsi"/>
        </w:rPr>
        <w:tab/>
      </w:r>
      <w:r>
        <w:rPr>
          <w:rFonts w:asciiTheme="minorHAnsi" w:hAnsiTheme="minorHAnsi"/>
        </w:rPr>
        <w:t>a.</w:t>
      </w:r>
      <w:r>
        <w:rPr>
          <w:rFonts w:asciiTheme="minorHAnsi" w:hAnsiTheme="minorHAnsi"/>
        </w:rPr>
        <w:tab/>
        <w:t xml:space="preserve">Allow households to self-certify assets of less </w:t>
      </w:r>
      <w:r w:rsidR="008A249F">
        <w:rPr>
          <w:rFonts w:asciiTheme="minorHAnsi" w:hAnsiTheme="minorHAnsi"/>
        </w:rPr>
        <w:t>than</w:t>
      </w:r>
      <w:r>
        <w:rPr>
          <w:rFonts w:asciiTheme="minorHAnsi" w:hAnsiTheme="minorHAnsi"/>
        </w:rPr>
        <w:t xml:space="preserve"> $5,000;</w:t>
      </w:r>
    </w:p>
    <w:p w:rsidR="00F9231C" w:rsidRDefault="00F9231C" w:rsidP="00282757">
      <w:pPr>
        <w:ind w:left="2160" w:hanging="720"/>
        <w:rPr>
          <w:rFonts w:asciiTheme="minorHAnsi" w:hAnsiTheme="minorHAnsi"/>
        </w:rPr>
      </w:pPr>
      <w:r>
        <w:rPr>
          <w:rFonts w:asciiTheme="minorHAnsi" w:hAnsiTheme="minorHAnsi"/>
        </w:rPr>
        <w:t>b.</w:t>
      </w:r>
      <w:r>
        <w:rPr>
          <w:rFonts w:asciiTheme="minorHAnsi" w:hAnsiTheme="minorHAnsi"/>
        </w:rPr>
        <w:tab/>
        <w:t>Allow PHA’s to apply applicable annual adjustment factor to fixed benefits or income verified on HUD’s EIV system;</w:t>
      </w:r>
    </w:p>
    <w:p w:rsidR="00F9231C" w:rsidRDefault="00F9231C" w:rsidP="00282757">
      <w:pPr>
        <w:ind w:left="1440"/>
        <w:rPr>
          <w:rFonts w:asciiTheme="minorHAnsi" w:hAnsiTheme="minorHAnsi"/>
        </w:rPr>
      </w:pPr>
      <w:r>
        <w:rPr>
          <w:rFonts w:asciiTheme="minorHAnsi" w:hAnsiTheme="minorHAnsi"/>
        </w:rPr>
        <w:t>c.</w:t>
      </w:r>
      <w:r>
        <w:rPr>
          <w:rFonts w:asciiTheme="minorHAnsi" w:hAnsiTheme="minorHAnsi"/>
        </w:rPr>
        <w:tab/>
        <w:t>Eliminate requirements to verify “excluded income” items;</w:t>
      </w:r>
    </w:p>
    <w:p w:rsidR="00F9231C" w:rsidRDefault="00F9231C" w:rsidP="00282757">
      <w:pPr>
        <w:ind w:left="1440"/>
        <w:rPr>
          <w:rFonts w:asciiTheme="minorHAnsi" w:hAnsiTheme="minorHAnsi"/>
        </w:rPr>
      </w:pPr>
      <w:r>
        <w:rPr>
          <w:rFonts w:asciiTheme="minorHAnsi" w:hAnsiTheme="minorHAnsi"/>
        </w:rPr>
        <w:t>d.</w:t>
      </w:r>
      <w:r>
        <w:rPr>
          <w:rFonts w:asciiTheme="minorHAnsi" w:hAnsiTheme="minorHAnsi"/>
        </w:rPr>
        <w:tab/>
        <w:t>Allow PHA’s to use pay stubs to verify income as first-ranked item;</w:t>
      </w:r>
    </w:p>
    <w:p w:rsidR="00F9231C" w:rsidRDefault="00F9231C" w:rsidP="00282757">
      <w:pPr>
        <w:ind w:left="1440"/>
        <w:rPr>
          <w:rFonts w:asciiTheme="minorHAnsi" w:hAnsiTheme="minorHAnsi"/>
        </w:rPr>
      </w:pPr>
      <w:r>
        <w:rPr>
          <w:rFonts w:asciiTheme="minorHAnsi" w:hAnsiTheme="minorHAnsi"/>
        </w:rPr>
        <w:t>e.</w:t>
      </w:r>
      <w:r>
        <w:rPr>
          <w:rFonts w:asciiTheme="minorHAnsi" w:hAnsiTheme="minorHAnsi"/>
        </w:rPr>
        <w:tab/>
        <w:t>Allow PHA’s to use recertification documents from other agencies.</w:t>
      </w:r>
    </w:p>
    <w:p w:rsidR="00F9231C" w:rsidRDefault="00F9231C" w:rsidP="00F9231C">
      <w:pPr>
        <w:rPr>
          <w:rFonts w:asciiTheme="minorHAnsi" w:hAnsiTheme="minorHAnsi"/>
        </w:rPr>
      </w:pPr>
    </w:p>
    <w:p w:rsidR="00F9231C" w:rsidRDefault="00F9231C" w:rsidP="00282757">
      <w:pPr>
        <w:ind w:left="1440" w:hanging="720"/>
        <w:rPr>
          <w:rFonts w:asciiTheme="minorHAnsi" w:hAnsiTheme="minorHAnsi"/>
        </w:rPr>
      </w:pPr>
      <w:r>
        <w:rPr>
          <w:rFonts w:asciiTheme="minorHAnsi" w:hAnsiTheme="minorHAnsi"/>
        </w:rPr>
        <w:t>2.</w:t>
      </w:r>
      <w:r>
        <w:rPr>
          <w:rFonts w:asciiTheme="minorHAnsi" w:hAnsiTheme="minorHAnsi"/>
        </w:rPr>
        <w:tab/>
        <w:t>Allow PHA’s to use their unobligated Net Restricted Asset (NRA) funds from prior years to increase ongoing administrative fee pro-rations that would help the HCV program sustain the number of families served last year as well as facilitate accomplishing the Departments FT 2010-15 Strategic Plan goals.</w:t>
      </w:r>
    </w:p>
    <w:p w:rsidR="00F9231C" w:rsidRDefault="00F9231C" w:rsidP="00F9231C">
      <w:pPr>
        <w:rPr>
          <w:rFonts w:asciiTheme="minorHAnsi" w:hAnsiTheme="minorHAnsi"/>
        </w:rPr>
      </w:pPr>
    </w:p>
    <w:p w:rsidR="00F9231C" w:rsidRDefault="00F9231C" w:rsidP="00282757">
      <w:pPr>
        <w:ind w:left="1440" w:hanging="720"/>
        <w:rPr>
          <w:rFonts w:asciiTheme="minorHAnsi" w:hAnsiTheme="minorHAnsi"/>
        </w:rPr>
      </w:pPr>
      <w:r>
        <w:rPr>
          <w:rFonts w:asciiTheme="minorHAnsi" w:hAnsiTheme="minorHAnsi"/>
        </w:rPr>
        <w:t>3.</w:t>
      </w:r>
      <w:r>
        <w:rPr>
          <w:rFonts w:asciiTheme="minorHAnsi" w:hAnsiTheme="minorHAnsi"/>
        </w:rPr>
        <w:tab/>
        <w:t>Where possible, suspend or waive all (or portions) of the Section Eight Management Assessment Program (SEMAP).  Taking unilateral action to suspend compliance and reporting burdens until full funding of administrative fees is restored will allow PHA’s to focus their limited resources toward service delivery.  NAHRO raised numerous, well-documented concerns over the scoring and implementation of SEMAP Indicators.  Utah NAHRO believes that under current conditions this would be a good time to allow PHA’s to have the option to carry forward their last SEMAP score until all issues are addressed.</w:t>
      </w:r>
    </w:p>
    <w:p w:rsidR="00282757" w:rsidRDefault="00282757" w:rsidP="00282757">
      <w:pPr>
        <w:ind w:left="1440" w:hanging="720"/>
        <w:rPr>
          <w:rFonts w:asciiTheme="minorHAnsi" w:hAnsiTheme="minorHAnsi"/>
        </w:rPr>
      </w:pPr>
    </w:p>
    <w:p w:rsidR="00282757" w:rsidRDefault="00282757" w:rsidP="006314F4">
      <w:pPr>
        <w:ind w:left="720"/>
        <w:rPr>
          <w:rFonts w:asciiTheme="minorHAnsi" w:hAnsiTheme="minorHAnsi"/>
        </w:rPr>
      </w:pPr>
      <w:r>
        <w:rPr>
          <w:rFonts w:asciiTheme="minorHAnsi" w:hAnsiTheme="minorHAnsi"/>
        </w:rPr>
        <w:t>In addition to the critical HCV relief efforts discussed above, there are additional measures which HUD can take immediately that would a</w:t>
      </w:r>
      <w:r w:rsidR="006314F4">
        <w:rPr>
          <w:rFonts w:asciiTheme="minorHAnsi" w:hAnsiTheme="minorHAnsi"/>
        </w:rPr>
        <w:t>ssist PHA’s to more effectively manage their Public Housing and CDBG programs:</w:t>
      </w:r>
    </w:p>
    <w:p w:rsidR="006314F4" w:rsidRDefault="006314F4" w:rsidP="006314F4">
      <w:pPr>
        <w:ind w:left="720"/>
        <w:rPr>
          <w:rFonts w:asciiTheme="minorHAnsi" w:hAnsiTheme="minorHAnsi"/>
        </w:rPr>
      </w:pPr>
    </w:p>
    <w:p w:rsidR="006314F4" w:rsidRDefault="006314F4" w:rsidP="00352718">
      <w:pPr>
        <w:ind w:left="1440" w:hanging="720"/>
        <w:rPr>
          <w:rFonts w:asciiTheme="minorHAnsi" w:hAnsiTheme="minorHAnsi"/>
        </w:rPr>
      </w:pPr>
      <w:r>
        <w:rPr>
          <w:rFonts w:asciiTheme="minorHAnsi" w:hAnsiTheme="minorHAnsi"/>
        </w:rPr>
        <w:t>4.</w:t>
      </w:r>
      <w:r>
        <w:rPr>
          <w:rFonts w:asciiTheme="minorHAnsi" w:hAnsiTheme="minorHAnsi"/>
        </w:rPr>
        <w:tab/>
        <w:t xml:space="preserve">Asset management regulations came out of a negotiated rulemaking conducted in 2004.  These fees were </w:t>
      </w:r>
      <w:r w:rsidR="00352718">
        <w:rPr>
          <w:rFonts w:asciiTheme="minorHAnsi" w:hAnsiTheme="minorHAnsi"/>
        </w:rPr>
        <w:t>benchmarked to a model of FHA-insured properties.  UT NAHRO believes that these fees should be re-evaluated as part of the Federal Advisory Committee process required by the regulations.  NAHRO sent a letter to HUD addressing concerns about the Operating Fund Rule and its asset management provisions on November 11, 2006.</w:t>
      </w:r>
    </w:p>
    <w:p w:rsidR="00352718" w:rsidRDefault="00352718" w:rsidP="006314F4">
      <w:pPr>
        <w:ind w:left="720"/>
        <w:rPr>
          <w:rFonts w:asciiTheme="minorHAnsi" w:hAnsiTheme="minorHAnsi"/>
        </w:rPr>
      </w:pPr>
    </w:p>
    <w:p w:rsidR="00352718" w:rsidRDefault="00352718" w:rsidP="00352718">
      <w:pPr>
        <w:ind w:left="1440" w:hanging="720"/>
        <w:rPr>
          <w:rFonts w:asciiTheme="minorHAnsi" w:hAnsiTheme="minorHAnsi"/>
        </w:rPr>
      </w:pPr>
      <w:r>
        <w:rPr>
          <w:rFonts w:asciiTheme="minorHAnsi" w:hAnsiTheme="minorHAnsi"/>
        </w:rPr>
        <w:t>5.</w:t>
      </w:r>
      <w:r>
        <w:rPr>
          <w:rFonts w:asciiTheme="minorHAnsi" w:hAnsiTheme="minorHAnsi"/>
        </w:rPr>
        <w:tab/>
        <w:t>We strongly believe that the asset management requirements of the Public Housing Operating Fund Rule are extremely burdensome for smaller agencies and do not provide any tangible benefits.  UT NAHRO members urge HUD to raise the Asset Management threshold to 400 units immediately.</w:t>
      </w:r>
    </w:p>
    <w:p w:rsidR="00352718" w:rsidRDefault="00352718" w:rsidP="006314F4">
      <w:pPr>
        <w:ind w:left="720"/>
        <w:rPr>
          <w:rFonts w:asciiTheme="minorHAnsi" w:hAnsiTheme="minorHAnsi"/>
        </w:rPr>
      </w:pPr>
    </w:p>
    <w:p w:rsidR="00352718" w:rsidRDefault="00352718" w:rsidP="00352718">
      <w:pPr>
        <w:ind w:left="1440" w:hanging="720"/>
        <w:rPr>
          <w:rFonts w:asciiTheme="minorHAnsi" w:hAnsiTheme="minorHAnsi"/>
        </w:rPr>
      </w:pPr>
      <w:r>
        <w:rPr>
          <w:rFonts w:asciiTheme="minorHAnsi" w:hAnsiTheme="minorHAnsi"/>
        </w:rPr>
        <w:t>6.</w:t>
      </w:r>
      <w:r>
        <w:rPr>
          <w:rFonts w:asciiTheme="minorHAnsi" w:hAnsiTheme="minorHAnsi"/>
        </w:rPr>
        <w:tab/>
        <w:t>Revise the CDBG timing requirement to complete the Analysis of Impediments to Fair Housing Choice (AI).  Extend it for a longer period or allow entitlement communities to decide when such an update or rewrite is needed.</w:t>
      </w:r>
    </w:p>
    <w:p w:rsidR="00352718" w:rsidRDefault="00352718" w:rsidP="006314F4">
      <w:pPr>
        <w:ind w:left="720"/>
        <w:rPr>
          <w:rFonts w:asciiTheme="minorHAnsi" w:hAnsiTheme="minorHAnsi"/>
        </w:rPr>
      </w:pPr>
    </w:p>
    <w:p w:rsidR="00352718" w:rsidRDefault="00352718" w:rsidP="00352718">
      <w:pPr>
        <w:ind w:left="1440" w:hanging="720"/>
        <w:rPr>
          <w:rFonts w:asciiTheme="minorHAnsi" w:hAnsiTheme="minorHAnsi"/>
        </w:rPr>
      </w:pPr>
      <w:r>
        <w:rPr>
          <w:rFonts w:asciiTheme="minorHAnsi" w:hAnsiTheme="minorHAnsi"/>
        </w:rPr>
        <w:t>7.</w:t>
      </w:r>
      <w:r>
        <w:rPr>
          <w:rFonts w:asciiTheme="minorHAnsi" w:hAnsiTheme="minorHAnsi"/>
        </w:rPr>
        <w:tab/>
        <w:t>Revise the HUD requirement regarding CDBG on-site sub-recipient monitoring.  The requirement for on-site monitoring should be based on a minimum dollar threshold.</w:t>
      </w:r>
    </w:p>
    <w:p w:rsidR="00352718" w:rsidRDefault="00352718" w:rsidP="006314F4">
      <w:pPr>
        <w:ind w:left="720"/>
        <w:rPr>
          <w:rFonts w:asciiTheme="minorHAnsi" w:hAnsiTheme="minorHAnsi"/>
        </w:rPr>
      </w:pPr>
    </w:p>
    <w:p w:rsidR="00352718" w:rsidRDefault="00352718" w:rsidP="00352718">
      <w:pPr>
        <w:ind w:left="1440" w:hanging="720"/>
        <w:rPr>
          <w:rFonts w:asciiTheme="minorHAnsi" w:hAnsiTheme="minorHAnsi"/>
        </w:rPr>
      </w:pPr>
      <w:r>
        <w:rPr>
          <w:rFonts w:asciiTheme="minorHAnsi" w:hAnsiTheme="minorHAnsi"/>
        </w:rPr>
        <w:lastRenderedPageBreak/>
        <w:t>8.</w:t>
      </w:r>
      <w:r>
        <w:rPr>
          <w:rFonts w:asciiTheme="minorHAnsi" w:hAnsiTheme="minorHAnsi"/>
        </w:rPr>
        <w:tab/>
        <w:t>Allow for formation of HOME consortia without requiring each jurisdiction to alter its program year to conform to the principal organization’s program year if an organization has already established this program year.</w:t>
      </w:r>
    </w:p>
    <w:p w:rsidR="00352718" w:rsidRDefault="00352718" w:rsidP="00352718">
      <w:pPr>
        <w:ind w:left="1440" w:hanging="720"/>
        <w:rPr>
          <w:rFonts w:asciiTheme="minorHAnsi" w:hAnsiTheme="minorHAnsi"/>
        </w:rPr>
      </w:pPr>
    </w:p>
    <w:p w:rsidR="00352718" w:rsidRDefault="00352718" w:rsidP="00352718">
      <w:pPr>
        <w:ind w:left="1440" w:hanging="720"/>
        <w:rPr>
          <w:rFonts w:asciiTheme="minorHAnsi" w:hAnsiTheme="minorHAnsi"/>
        </w:rPr>
      </w:pPr>
      <w:r>
        <w:rPr>
          <w:rFonts w:asciiTheme="minorHAnsi" w:hAnsiTheme="minorHAnsi"/>
        </w:rPr>
        <w:t>9.</w:t>
      </w:r>
      <w:r>
        <w:rPr>
          <w:rFonts w:asciiTheme="minorHAnsi" w:hAnsiTheme="minorHAnsi"/>
        </w:rPr>
        <w:tab/>
        <w:t>Eliminate the sanctions regarding timeliness of expenditure on CDBG funds which presently result in serious financial sanctions that reduce a grantees entitlement amount if the grantee exceeds having a ratio of 1.5 of its annual entitlement unspent.</w:t>
      </w:r>
    </w:p>
    <w:p w:rsidR="00352718" w:rsidRDefault="00352718" w:rsidP="00352718">
      <w:pPr>
        <w:ind w:left="1440" w:hanging="720"/>
        <w:rPr>
          <w:rFonts w:asciiTheme="minorHAnsi" w:hAnsiTheme="minorHAnsi"/>
        </w:rPr>
      </w:pPr>
    </w:p>
    <w:p w:rsidR="00352718" w:rsidRDefault="00352718" w:rsidP="00352718">
      <w:pPr>
        <w:ind w:left="1440" w:hanging="720"/>
        <w:rPr>
          <w:rFonts w:asciiTheme="minorHAnsi" w:hAnsiTheme="minorHAnsi"/>
        </w:rPr>
      </w:pPr>
      <w:r>
        <w:rPr>
          <w:rFonts w:asciiTheme="minorHAnsi" w:hAnsiTheme="minorHAnsi"/>
        </w:rPr>
        <w:t>We thank you for your consideration of the specific requests for relief from compliance and</w:t>
      </w:r>
    </w:p>
    <w:p w:rsidR="00352718" w:rsidRDefault="008A249F" w:rsidP="00352718">
      <w:pPr>
        <w:ind w:left="1440" w:hanging="720"/>
        <w:rPr>
          <w:rFonts w:asciiTheme="minorHAnsi" w:hAnsiTheme="minorHAnsi"/>
        </w:rPr>
      </w:pPr>
      <w:r>
        <w:rPr>
          <w:rFonts w:asciiTheme="minorHAnsi" w:hAnsiTheme="minorHAnsi"/>
        </w:rPr>
        <w:t>Administrative</w:t>
      </w:r>
      <w:r w:rsidR="00352718">
        <w:rPr>
          <w:rFonts w:asciiTheme="minorHAnsi" w:hAnsiTheme="minorHAnsi"/>
        </w:rPr>
        <w:t xml:space="preserve"> burdens as outlined in this letter.  We request that you contact HUD indicating </w:t>
      </w:r>
    </w:p>
    <w:p w:rsidR="008A249F" w:rsidRDefault="00352718" w:rsidP="00352718">
      <w:pPr>
        <w:ind w:left="1440" w:hanging="720"/>
        <w:rPr>
          <w:rFonts w:asciiTheme="minorHAnsi" w:hAnsiTheme="minorHAnsi"/>
        </w:rPr>
      </w:pPr>
      <w:r>
        <w:rPr>
          <w:rFonts w:asciiTheme="minorHAnsi" w:hAnsiTheme="minorHAnsi"/>
        </w:rPr>
        <w:t xml:space="preserve">your </w:t>
      </w:r>
      <w:r w:rsidR="008A249F">
        <w:rPr>
          <w:rFonts w:asciiTheme="minorHAnsi" w:hAnsiTheme="minorHAnsi"/>
        </w:rPr>
        <w:t xml:space="preserve">support for the measures outlined in this letter and requests a response from HUD </w:t>
      </w:r>
    </w:p>
    <w:p w:rsidR="008A249F" w:rsidRDefault="00352718" w:rsidP="00352718">
      <w:pPr>
        <w:ind w:left="1440" w:hanging="720"/>
        <w:rPr>
          <w:rFonts w:asciiTheme="minorHAnsi" w:hAnsiTheme="minorHAnsi"/>
        </w:rPr>
      </w:pPr>
      <w:r>
        <w:rPr>
          <w:rFonts w:asciiTheme="minorHAnsi" w:hAnsiTheme="minorHAnsi"/>
        </w:rPr>
        <w:t>indicating</w:t>
      </w:r>
      <w:r w:rsidR="008A249F">
        <w:rPr>
          <w:rFonts w:asciiTheme="minorHAnsi" w:hAnsiTheme="minorHAnsi"/>
        </w:rPr>
        <w:t xml:space="preserve"> </w:t>
      </w:r>
      <w:r>
        <w:rPr>
          <w:rFonts w:asciiTheme="minorHAnsi" w:hAnsiTheme="minorHAnsi"/>
        </w:rPr>
        <w:t xml:space="preserve">when they intend to implement the program reforms.  </w:t>
      </w:r>
    </w:p>
    <w:p w:rsidR="008A249F" w:rsidRDefault="008A249F" w:rsidP="00352718">
      <w:pPr>
        <w:ind w:left="1440" w:hanging="720"/>
        <w:rPr>
          <w:rFonts w:asciiTheme="minorHAnsi" w:hAnsiTheme="minorHAnsi"/>
        </w:rPr>
      </w:pPr>
    </w:p>
    <w:p w:rsidR="008A249F" w:rsidRDefault="00352718" w:rsidP="00352718">
      <w:pPr>
        <w:ind w:left="1440" w:hanging="720"/>
        <w:rPr>
          <w:rFonts w:asciiTheme="minorHAnsi" w:hAnsiTheme="minorHAnsi"/>
        </w:rPr>
      </w:pPr>
      <w:r>
        <w:rPr>
          <w:rFonts w:asciiTheme="minorHAnsi" w:hAnsiTheme="minorHAnsi"/>
        </w:rPr>
        <w:t xml:space="preserve">UT NAHRO will be setting up appointments to review and further explain this information with your </w:t>
      </w:r>
    </w:p>
    <w:p w:rsidR="008A249F" w:rsidRDefault="00352718" w:rsidP="00352718">
      <w:pPr>
        <w:ind w:left="1440" w:hanging="720"/>
        <w:rPr>
          <w:rFonts w:asciiTheme="minorHAnsi" w:hAnsiTheme="minorHAnsi"/>
        </w:rPr>
      </w:pPr>
      <w:r>
        <w:rPr>
          <w:rFonts w:asciiTheme="minorHAnsi" w:hAnsiTheme="minorHAnsi"/>
        </w:rPr>
        <w:t xml:space="preserve">staff during the upcoming NAHRO Legislative Conference.  The member PHA’s of UT NAHRO also look </w:t>
      </w:r>
    </w:p>
    <w:p w:rsidR="008A249F" w:rsidRDefault="00352718" w:rsidP="00352718">
      <w:pPr>
        <w:ind w:left="1440" w:hanging="720"/>
        <w:rPr>
          <w:rFonts w:asciiTheme="minorHAnsi" w:hAnsiTheme="minorHAnsi"/>
        </w:rPr>
      </w:pPr>
      <w:r>
        <w:rPr>
          <w:rFonts w:asciiTheme="minorHAnsi" w:hAnsiTheme="minorHAnsi"/>
        </w:rPr>
        <w:t xml:space="preserve">forward to joining </w:t>
      </w:r>
      <w:r w:rsidR="008A249F">
        <w:rPr>
          <w:rFonts w:asciiTheme="minorHAnsi" w:hAnsiTheme="minorHAnsi"/>
        </w:rPr>
        <w:t>with our</w:t>
      </w:r>
      <w:r>
        <w:rPr>
          <w:rFonts w:asciiTheme="minorHAnsi" w:hAnsiTheme="minorHAnsi"/>
        </w:rPr>
        <w:t xml:space="preserve"> peers in five other states (which comprise the regional Mountain Plains </w:t>
      </w:r>
    </w:p>
    <w:p w:rsidR="008A249F" w:rsidRDefault="00352718" w:rsidP="00352718">
      <w:pPr>
        <w:ind w:left="1440" w:hanging="720"/>
        <w:rPr>
          <w:rFonts w:asciiTheme="minorHAnsi" w:hAnsiTheme="minorHAnsi"/>
        </w:rPr>
      </w:pPr>
      <w:r>
        <w:rPr>
          <w:rFonts w:asciiTheme="minorHAnsi" w:hAnsiTheme="minorHAnsi"/>
        </w:rPr>
        <w:t>NAHRO) at a meeting with appropriate HUD staff during the NAHRO Legislative Conference to discuss</w:t>
      </w:r>
    </w:p>
    <w:p w:rsidR="00352718" w:rsidRDefault="00352718" w:rsidP="00352718">
      <w:pPr>
        <w:ind w:left="1440" w:hanging="720"/>
        <w:rPr>
          <w:rFonts w:asciiTheme="minorHAnsi" w:hAnsiTheme="minorHAnsi"/>
        </w:rPr>
      </w:pPr>
      <w:r>
        <w:rPr>
          <w:rFonts w:asciiTheme="minorHAnsi" w:hAnsiTheme="minorHAnsi"/>
        </w:rPr>
        <w:t xml:space="preserve"> how we can best move forward on these initiatives.</w:t>
      </w:r>
    </w:p>
    <w:p w:rsidR="00352718" w:rsidRDefault="00352718" w:rsidP="00352718">
      <w:pPr>
        <w:ind w:left="1440" w:hanging="720"/>
        <w:rPr>
          <w:rFonts w:asciiTheme="minorHAnsi" w:hAnsiTheme="minorHAnsi"/>
        </w:rPr>
      </w:pPr>
    </w:p>
    <w:p w:rsidR="00352718" w:rsidRDefault="00352718" w:rsidP="00352718">
      <w:pPr>
        <w:ind w:left="1440" w:hanging="720"/>
        <w:rPr>
          <w:rFonts w:asciiTheme="minorHAnsi" w:hAnsiTheme="minorHAnsi"/>
        </w:rPr>
      </w:pPr>
      <w:r>
        <w:rPr>
          <w:rFonts w:asciiTheme="minorHAnsi" w:hAnsiTheme="minorHAnsi"/>
        </w:rPr>
        <w:t>Sincerely,</w:t>
      </w:r>
    </w:p>
    <w:p w:rsidR="009838CF" w:rsidRDefault="009838CF" w:rsidP="00352718">
      <w:pPr>
        <w:ind w:left="1440" w:hanging="720"/>
        <w:rPr>
          <w:rFonts w:asciiTheme="minorHAnsi" w:hAnsiTheme="minorHAnsi"/>
        </w:rPr>
      </w:pPr>
    </w:p>
    <w:p w:rsidR="009838CF" w:rsidRDefault="009838CF" w:rsidP="00352718">
      <w:pPr>
        <w:ind w:left="1440" w:hanging="720"/>
        <w:rPr>
          <w:rFonts w:asciiTheme="minorHAnsi" w:hAnsiTheme="minorHAnsi"/>
        </w:rPr>
      </w:pPr>
    </w:p>
    <w:p w:rsidR="009838CF" w:rsidRDefault="009838CF" w:rsidP="00352718">
      <w:pPr>
        <w:ind w:left="1440" w:hanging="720"/>
        <w:rPr>
          <w:rFonts w:asciiTheme="minorHAnsi" w:hAnsiTheme="minorHAnsi"/>
        </w:rPr>
      </w:pPr>
    </w:p>
    <w:p w:rsidR="009838CF" w:rsidRDefault="009838CF" w:rsidP="00352718">
      <w:pPr>
        <w:ind w:left="1440" w:hanging="720"/>
        <w:rPr>
          <w:rFonts w:asciiTheme="minorHAnsi" w:hAnsiTheme="minorHAnsi"/>
        </w:rPr>
      </w:pPr>
      <w:r>
        <w:rPr>
          <w:rFonts w:asciiTheme="minorHAnsi" w:hAnsiTheme="minorHAnsi"/>
        </w:rPr>
        <w:t>Lynell Smith, President</w:t>
      </w:r>
    </w:p>
    <w:p w:rsidR="009838CF" w:rsidRDefault="009838CF" w:rsidP="00352718">
      <w:pPr>
        <w:ind w:left="1440" w:hanging="720"/>
        <w:rPr>
          <w:rFonts w:asciiTheme="minorHAnsi" w:hAnsiTheme="minorHAnsi"/>
        </w:rPr>
      </w:pPr>
      <w:r>
        <w:rPr>
          <w:rFonts w:asciiTheme="minorHAnsi" w:hAnsiTheme="minorHAnsi"/>
        </w:rPr>
        <w:t>UT Chapter of NAHRO</w:t>
      </w:r>
    </w:p>
    <w:p w:rsidR="009838CF" w:rsidRDefault="009838CF" w:rsidP="00352718">
      <w:pPr>
        <w:ind w:left="1440" w:hanging="720"/>
        <w:rPr>
          <w:rFonts w:asciiTheme="minorHAnsi" w:hAnsiTheme="minorHAnsi"/>
        </w:rPr>
      </w:pPr>
    </w:p>
    <w:p w:rsidR="00352718" w:rsidRDefault="00352718" w:rsidP="00352718">
      <w:pPr>
        <w:ind w:left="1440" w:hanging="720"/>
        <w:rPr>
          <w:rFonts w:asciiTheme="minorHAnsi" w:hAnsiTheme="minorHAnsi"/>
        </w:rPr>
      </w:pPr>
    </w:p>
    <w:p w:rsidR="008A249F" w:rsidRDefault="008A249F" w:rsidP="00352718">
      <w:pPr>
        <w:ind w:left="1440" w:hanging="720"/>
        <w:rPr>
          <w:rFonts w:asciiTheme="minorHAnsi" w:hAnsiTheme="minorHAnsi"/>
        </w:rPr>
      </w:pPr>
    </w:p>
    <w:p w:rsidR="00352718" w:rsidRDefault="00352718" w:rsidP="006314F4">
      <w:pPr>
        <w:ind w:left="720"/>
        <w:rPr>
          <w:rFonts w:asciiTheme="minorHAnsi" w:hAnsiTheme="minorHAnsi"/>
        </w:rPr>
      </w:pPr>
    </w:p>
    <w:p w:rsidR="00352718" w:rsidRDefault="00352718" w:rsidP="006314F4">
      <w:pPr>
        <w:ind w:left="720"/>
        <w:rPr>
          <w:rFonts w:asciiTheme="minorHAnsi" w:hAnsiTheme="minorHAnsi"/>
        </w:rPr>
      </w:pPr>
    </w:p>
    <w:p w:rsidR="00F9231C" w:rsidRDefault="00F9231C" w:rsidP="00F9231C">
      <w:pPr>
        <w:rPr>
          <w:rFonts w:asciiTheme="minorHAnsi" w:hAnsiTheme="minorHAnsi"/>
        </w:rPr>
      </w:pPr>
    </w:p>
    <w:p w:rsidR="00080CBC" w:rsidRDefault="00F9231C" w:rsidP="008270B0">
      <w:pPr>
        <w:rPr>
          <w:rFonts w:asciiTheme="minorHAnsi" w:hAnsiTheme="minorHAnsi"/>
        </w:rPr>
      </w:pPr>
      <w:r>
        <w:rPr>
          <w:rFonts w:asciiTheme="minorHAnsi" w:hAnsiTheme="minorHAnsi"/>
        </w:rPr>
        <w:t xml:space="preserve"> </w:t>
      </w:r>
      <w:r w:rsidR="00080CBC">
        <w:rPr>
          <w:rFonts w:asciiTheme="minorHAnsi" w:hAnsiTheme="minorHAnsi"/>
        </w:rPr>
        <w:tab/>
      </w:r>
    </w:p>
    <w:p w:rsidR="0034052F" w:rsidRPr="0034052F" w:rsidRDefault="0034052F" w:rsidP="008270B0">
      <w:pPr>
        <w:rPr>
          <w:rFonts w:asciiTheme="minorHAnsi" w:hAnsiTheme="minorHAnsi"/>
        </w:rPr>
      </w:pPr>
      <w:r>
        <w:rPr>
          <w:rFonts w:asciiTheme="minorHAnsi" w:hAnsiTheme="minorHAnsi"/>
        </w:rPr>
        <w:t xml:space="preserve"> </w:t>
      </w:r>
    </w:p>
    <w:p w:rsidR="00036EA7" w:rsidRDefault="00036EA7" w:rsidP="008270B0">
      <w:pPr>
        <w:rPr>
          <w:i/>
        </w:rPr>
      </w:pPr>
    </w:p>
    <w:p w:rsidR="00036EA7" w:rsidRDefault="00036EA7" w:rsidP="008270B0">
      <w:pPr>
        <w:rPr>
          <w:i/>
        </w:rPr>
      </w:pPr>
    </w:p>
    <w:p w:rsidR="00036EA7" w:rsidRDefault="0034052F" w:rsidP="008270B0">
      <w:pPr>
        <w:rPr>
          <w:i/>
        </w:rPr>
      </w:pPr>
      <w:r>
        <w:rPr>
          <w:i/>
        </w:rPr>
        <w:tab/>
      </w:r>
    </w:p>
    <w:p w:rsidR="0034052F" w:rsidRDefault="0034052F" w:rsidP="008270B0">
      <w:pPr>
        <w:rPr>
          <w:i/>
        </w:rPr>
      </w:pPr>
    </w:p>
    <w:p w:rsidR="00036EA7" w:rsidRDefault="00036EA7" w:rsidP="008270B0">
      <w:pPr>
        <w:rPr>
          <w:i/>
        </w:rPr>
      </w:pPr>
    </w:p>
    <w:p w:rsidR="00036EA7" w:rsidRDefault="00036EA7" w:rsidP="008270B0">
      <w:pPr>
        <w:rPr>
          <w:i/>
        </w:rPr>
      </w:pPr>
    </w:p>
    <w:p w:rsidR="00036EA7" w:rsidRDefault="00036EA7" w:rsidP="008270B0">
      <w:pPr>
        <w:rPr>
          <w:i/>
        </w:rPr>
      </w:pPr>
    </w:p>
    <w:p w:rsidR="00036EA7" w:rsidRDefault="00036EA7" w:rsidP="008270B0">
      <w:pPr>
        <w:rPr>
          <w:i/>
        </w:rPr>
      </w:pPr>
    </w:p>
    <w:p w:rsidR="00036EA7" w:rsidRDefault="00036EA7" w:rsidP="008270B0">
      <w:pPr>
        <w:rPr>
          <w:i/>
        </w:rPr>
      </w:pPr>
    </w:p>
    <w:p w:rsidR="00036EA7" w:rsidRPr="008270B0" w:rsidRDefault="00036EA7" w:rsidP="008270B0">
      <w:pPr>
        <w:rPr>
          <w:i/>
        </w:rPr>
      </w:pPr>
    </w:p>
    <w:sectPr w:rsidR="00036EA7" w:rsidRPr="008270B0" w:rsidSect="008A249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720" w:left="5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49F" w:rsidRDefault="008A249F" w:rsidP="008A249F">
      <w:r>
        <w:separator/>
      </w:r>
    </w:p>
  </w:endnote>
  <w:endnote w:type="continuationSeparator" w:id="0">
    <w:p w:rsidR="008A249F" w:rsidRDefault="008A249F" w:rsidP="008A2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49F" w:rsidRDefault="008A24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6753"/>
      <w:docPartObj>
        <w:docPartGallery w:val="Page Numbers (Bottom of Page)"/>
        <w:docPartUnique/>
      </w:docPartObj>
    </w:sdtPr>
    <w:sdtContent>
      <w:p w:rsidR="008A249F" w:rsidRDefault="00DC573C">
        <w:pPr>
          <w:pStyle w:val="Footer"/>
          <w:jc w:val="right"/>
        </w:pPr>
        <w:fldSimple w:instr=" PAGE   \* MERGEFORMAT ">
          <w:r w:rsidR="00B31FB9">
            <w:rPr>
              <w:noProof/>
            </w:rPr>
            <w:t>1</w:t>
          </w:r>
        </w:fldSimple>
      </w:p>
    </w:sdtContent>
  </w:sdt>
  <w:p w:rsidR="008A249F" w:rsidRDefault="008A24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49F" w:rsidRDefault="008A2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49F" w:rsidRDefault="008A249F" w:rsidP="008A249F">
      <w:r>
        <w:separator/>
      </w:r>
    </w:p>
  </w:footnote>
  <w:footnote w:type="continuationSeparator" w:id="0">
    <w:p w:rsidR="008A249F" w:rsidRDefault="008A249F" w:rsidP="008A2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49F" w:rsidRDefault="008A24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49F" w:rsidRDefault="008A24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49F" w:rsidRDefault="008A24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8193"/>
  </w:hdrShapeDefaults>
  <w:footnotePr>
    <w:footnote w:id="-1"/>
    <w:footnote w:id="0"/>
  </w:footnotePr>
  <w:endnotePr>
    <w:endnote w:id="-1"/>
    <w:endnote w:id="0"/>
  </w:endnotePr>
  <w:compat/>
  <w:rsids>
    <w:rsidRoot w:val="00CD6343"/>
    <w:rsid w:val="00036EA7"/>
    <w:rsid w:val="00080CBC"/>
    <w:rsid w:val="00114020"/>
    <w:rsid w:val="00117567"/>
    <w:rsid w:val="001208A0"/>
    <w:rsid w:val="001A3051"/>
    <w:rsid w:val="00282757"/>
    <w:rsid w:val="0028318E"/>
    <w:rsid w:val="002C4601"/>
    <w:rsid w:val="0034052F"/>
    <w:rsid w:val="00352718"/>
    <w:rsid w:val="003A3AFC"/>
    <w:rsid w:val="00403EFD"/>
    <w:rsid w:val="004057A4"/>
    <w:rsid w:val="00411949"/>
    <w:rsid w:val="005C550A"/>
    <w:rsid w:val="006314F4"/>
    <w:rsid w:val="006745CF"/>
    <w:rsid w:val="008270B0"/>
    <w:rsid w:val="008A249F"/>
    <w:rsid w:val="0094420A"/>
    <w:rsid w:val="009838CF"/>
    <w:rsid w:val="009B186E"/>
    <w:rsid w:val="00A12963"/>
    <w:rsid w:val="00A3307B"/>
    <w:rsid w:val="00A67556"/>
    <w:rsid w:val="00A76E9A"/>
    <w:rsid w:val="00B1028D"/>
    <w:rsid w:val="00B31FB9"/>
    <w:rsid w:val="00B42536"/>
    <w:rsid w:val="00C82C60"/>
    <w:rsid w:val="00CD6343"/>
    <w:rsid w:val="00D439EF"/>
    <w:rsid w:val="00DC573C"/>
    <w:rsid w:val="00E20C59"/>
    <w:rsid w:val="00EB5FFC"/>
    <w:rsid w:val="00F07DC5"/>
    <w:rsid w:val="00F60B22"/>
    <w:rsid w:val="00F92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43"/>
    <w:rPr>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249F"/>
    <w:pPr>
      <w:tabs>
        <w:tab w:val="center" w:pos="4680"/>
        <w:tab w:val="right" w:pos="9360"/>
      </w:tabs>
    </w:pPr>
  </w:style>
  <w:style w:type="character" w:customStyle="1" w:styleId="HeaderChar">
    <w:name w:val="Header Char"/>
    <w:basedOn w:val="DefaultParagraphFont"/>
    <w:link w:val="Header"/>
    <w:uiPriority w:val="99"/>
    <w:semiHidden/>
    <w:rsid w:val="008A249F"/>
    <w:rPr>
      <w:color w:val="000000"/>
      <w:kern w:val="28"/>
      <w:sz w:val="24"/>
      <w:szCs w:val="24"/>
    </w:rPr>
  </w:style>
  <w:style w:type="paragraph" w:styleId="Footer">
    <w:name w:val="footer"/>
    <w:basedOn w:val="Normal"/>
    <w:link w:val="FooterChar"/>
    <w:uiPriority w:val="99"/>
    <w:unhideWhenUsed/>
    <w:rsid w:val="008A249F"/>
    <w:pPr>
      <w:tabs>
        <w:tab w:val="center" w:pos="4680"/>
        <w:tab w:val="right" w:pos="9360"/>
      </w:tabs>
    </w:pPr>
  </w:style>
  <w:style w:type="character" w:customStyle="1" w:styleId="FooterChar">
    <w:name w:val="Footer Char"/>
    <w:basedOn w:val="DefaultParagraphFont"/>
    <w:link w:val="Footer"/>
    <w:uiPriority w:val="99"/>
    <w:rsid w:val="008A249F"/>
    <w:rPr>
      <w:color w:val="000000"/>
      <w:kern w:val="28"/>
      <w:sz w:val="24"/>
      <w:szCs w:val="24"/>
    </w:rPr>
  </w:style>
</w:styles>
</file>

<file path=word/webSettings.xml><?xml version="1.0" encoding="utf-8"?>
<w:webSettings xmlns:r="http://schemas.openxmlformats.org/officeDocument/2006/relationships" xmlns:w="http://schemas.openxmlformats.org/wordprocessingml/2006/main">
  <w:divs>
    <w:div w:id="13341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BE8A3-44DD-4130-9ECE-2F817564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Schreiter</dc:creator>
  <cp:keywords/>
  <dc:description/>
  <cp:lastModifiedBy>Lynell Smith</cp:lastModifiedBy>
  <cp:revision>2</cp:revision>
  <cp:lastPrinted>2011-10-14T21:23:00Z</cp:lastPrinted>
  <dcterms:created xsi:type="dcterms:W3CDTF">2012-03-12T21:22:00Z</dcterms:created>
  <dcterms:modified xsi:type="dcterms:W3CDTF">2012-03-12T21:22:00Z</dcterms:modified>
</cp:coreProperties>
</file>